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FF3" w:rsidRDefault="00B75A50">
      <w:pPr>
        <w:spacing w:after="40"/>
      </w:pPr>
      <w:bookmarkStart w:id="0" w:name="_GoBack"/>
      <w:r>
        <w:rPr>
          <w:noProof/>
        </w:rPr>
        <w:drawing>
          <wp:inline distT="0" distB="0" distL="0" distR="0">
            <wp:extent cx="3345446" cy="1024906"/>
            <wp:effectExtent l="0" t="0" r="0" b="0"/>
            <wp:docPr id="2" name="image3.jpg" descr="Washington State Board for Community and Technical Colleges, Equity Diversity, and Inclusion Office logo"/>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345446" cy="1024906"/>
                    </a:xfrm>
                    <a:prstGeom prst="rect">
                      <a:avLst/>
                    </a:prstGeom>
                    <a:ln/>
                  </pic:spPr>
                </pic:pic>
              </a:graphicData>
            </a:graphic>
          </wp:inline>
        </w:drawing>
      </w:r>
      <w:bookmarkEnd w:id="0"/>
    </w:p>
    <w:p w:rsidR="00F87FF3" w:rsidRDefault="00B75A50">
      <w:pPr>
        <w:spacing w:before="1440" w:after="40"/>
      </w:pPr>
      <w:r>
        <w:rPr>
          <w:noProof/>
        </w:rPr>
        <w:drawing>
          <wp:inline distT="0" distB="0" distL="0" distR="0">
            <wp:extent cx="5943600" cy="3750310"/>
            <wp:effectExtent l="0" t="0" r="0" b="0"/>
            <wp:docPr id="4" name="image1.png" descr="Cover Triangle Pattern"/>
            <wp:cNvGraphicFramePr/>
            <a:graphic xmlns:a="http://schemas.openxmlformats.org/drawingml/2006/main">
              <a:graphicData uri="http://schemas.openxmlformats.org/drawingml/2006/picture">
                <pic:pic xmlns:pic="http://schemas.openxmlformats.org/drawingml/2006/picture">
                  <pic:nvPicPr>
                    <pic:cNvPr id="0" name="image1.png" descr="Cover Triangle Pattern"/>
                    <pic:cNvPicPr preferRelativeResize="0"/>
                  </pic:nvPicPr>
                  <pic:blipFill>
                    <a:blip r:embed="rId8"/>
                    <a:srcRect/>
                    <a:stretch>
                      <a:fillRect/>
                    </a:stretch>
                  </pic:blipFill>
                  <pic:spPr>
                    <a:xfrm>
                      <a:off x="0" y="0"/>
                      <a:ext cx="5943600" cy="3750310"/>
                    </a:xfrm>
                    <a:prstGeom prst="rect">
                      <a:avLst/>
                    </a:prstGeom>
                    <a:ln/>
                  </pic:spPr>
                </pic:pic>
              </a:graphicData>
            </a:graphic>
          </wp:inline>
        </w:drawing>
      </w:r>
    </w:p>
    <w:p w:rsidR="00F87FF3" w:rsidRDefault="00B75A50">
      <w:pPr>
        <w:pStyle w:val="Title"/>
        <w:keepLines/>
        <w:spacing w:before="2000" w:after="40"/>
        <w:ind w:left="720" w:right="0"/>
      </w:pPr>
      <w:bookmarkStart w:id="1" w:name="_gjdgxs" w:colFirst="0" w:colLast="0"/>
      <w:bookmarkEnd w:id="1"/>
      <w:r>
        <w:t>SBCTC MODEL TEMPLATE</w:t>
      </w:r>
    </w:p>
    <w:p w:rsidR="00F87FF3" w:rsidRDefault="00B75A50">
      <w:pPr>
        <w:pStyle w:val="Heading1"/>
        <w:tabs>
          <w:tab w:val="left" w:pos="0"/>
        </w:tabs>
        <w:spacing w:after="40"/>
        <w:ind w:right="-90"/>
        <w:rPr>
          <w:color w:val="0071CE"/>
          <w:sz w:val="42"/>
          <w:szCs w:val="42"/>
        </w:rPr>
      </w:pPr>
      <w:bookmarkStart w:id="2" w:name="_30j0zll" w:colFirst="0" w:colLast="0"/>
      <w:bookmarkEnd w:id="2"/>
      <w:r>
        <w:rPr>
          <w:color w:val="0071CE"/>
          <w:sz w:val="42"/>
          <w:szCs w:val="42"/>
        </w:rPr>
        <w:t>FACULTY DIVERSITY PROGRAM</w:t>
      </w:r>
    </w:p>
    <w:p w:rsidR="00F87FF3" w:rsidRDefault="00F87FF3">
      <w:pPr>
        <w:pStyle w:val="Heading2"/>
        <w:spacing w:before="0" w:after="40"/>
      </w:pPr>
    </w:p>
    <w:p w:rsidR="00F87FF3" w:rsidRDefault="00B75A50">
      <w:pPr>
        <w:pStyle w:val="Heading2"/>
        <w:spacing w:before="0" w:after="40"/>
        <w:rPr>
          <w:sz w:val="24"/>
          <w:szCs w:val="24"/>
        </w:rPr>
      </w:pPr>
      <w:bookmarkStart w:id="3" w:name="_1fob9te" w:colFirst="0" w:colLast="0"/>
      <w:bookmarkEnd w:id="3"/>
      <w:r>
        <w:lastRenderedPageBreak/>
        <w:t>Table of Contents</w:t>
      </w:r>
    </w:p>
    <w:sdt>
      <w:sdtPr>
        <w:id w:val="-1627764802"/>
        <w:docPartObj>
          <w:docPartGallery w:val="Table of Contents"/>
          <w:docPartUnique/>
        </w:docPartObj>
      </w:sdtPr>
      <w:sdtEndPr/>
      <w:sdtContent>
        <w:p w:rsidR="00F87FF3" w:rsidRDefault="00B75A50">
          <w:pPr>
            <w:pBdr>
              <w:top w:val="nil"/>
              <w:left w:val="nil"/>
              <w:bottom w:val="nil"/>
              <w:right w:val="nil"/>
              <w:between w:val="nil"/>
            </w:pBdr>
            <w:tabs>
              <w:tab w:val="right" w:pos="9170"/>
            </w:tabs>
            <w:spacing w:after="100"/>
            <w:rPr>
              <w:rFonts w:ascii="Calibri" w:eastAsia="Calibri" w:hAnsi="Calibri" w:cs="Calibri"/>
              <w:color w:val="000000"/>
            </w:rPr>
          </w:pPr>
          <w:r>
            <w:fldChar w:fldCharType="begin"/>
          </w:r>
          <w:r>
            <w:instrText xml:space="preserve"> TOC \h \u \z </w:instrText>
          </w:r>
          <w:r>
            <w:fldChar w:fldCharType="separate"/>
          </w:r>
          <w:hyperlink w:anchor="_30j0zll">
            <w:r>
              <w:rPr>
                <w:color w:val="000000"/>
              </w:rPr>
              <w:t>FACULTY DIVERSITY PROGRAM</w:t>
            </w:r>
            <w:r>
              <w:rPr>
                <w:color w:val="000000"/>
              </w:rPr>
              <w:tab/>
              <w:t>1</w:t>
            </w:r>
          </w:hyperlink>
        </w:p>
        <w:p w:rsidR="00F87FF3" w:rsidRDefault="00B75A50">
          <w:pPr>
            <w:pBdr>
              <w:top w:val="nil"/>
              <w:left w:val="nil"/>
              <w:bottom w:val="nil"/>
              <w:right w:val="nil"/>
              <w:between w:val="nil"/>
            </w:pBdr>
            <w:tabs>
              <w:tab w:val="right" w:pos="9170"/>
            </w:tabs>
            <w:spacing w:after="100"/>
            <w:ind w:left="200"/>
            <w:rPr>
              <w:rFonts w:ascii="Calibri" w:eastAsia="Calibri" w:hAnsi="Calibri" w:cs="Calibri"/>
              <w:color w:val="000000"/>
            </w:rPr>
          </w:pPr>
          <w:hyperlink w:anchor="_1fob9te">
            <w:r>
              <w:rPr>
                <w:color w:val="000000"/>
              </w:rPr>
              <w:t>Table of Contents</w:t>
            </w:r>
            <w:r>
              <w:rPr>
                <w:color w:val="000000"/>
              </w:rPr>
              <w:tab/>
              <w:t>2</w:t>
            </w:r>
          </w:hyperlink>
        </w:p>
        <w:p w:rsidR="00F87FF3" w:rsidRDefault="00B75A50">
          <w:pPr>
            <w:pBdr>
              <w:top w:val="nil"/>
              <w:left w:val="nil"/>
              <w:bottom w:val="nil"/>
              <w:right w:val="nil"/>
              <w:between w:val="nil"/>
            </w:pBdr>
            <w:tabs>
              <w:tab w:val="right" w:pos="9170"/>
            </w:tabs>
            <w:spacing w:after="100"/>
            <w:ind w:left="200"/>
            <w:rPr>
              <w:rFonts w:ascii="Calibri" w:eastAsia="Calibri" w:hAnsi="Calibri" w:cs="Calibri"/>
              <w:color w:val="000000"/>
            </w:rPr>
          </w:pPr>
          <w:hyperlink w:anchor="_2et92p0">
            <w:r>
              <w:rPr>
                <w:color w:val="000000"/>
              </w:rPr>
              <w:t>Faculty Diversity Program at WA CTCs</w:t>
            </w:r>
            <w:r>
              <w:rPr>
                <w:color w:val="000000"/>
              </w:rPr>
              <w:tab/>
              <w:t>3</w:t>
            </w:r>
          </w:hyperlink>
        </w:p>
        <w:p w:rsidR="00F87FF3" w:rsidRDefault="00B75A50">
          <w:pPr>
            <w:pBdr>
              <w:top w:val="nil"/>
              <w:left w:val="nil"/>
              <w:bottom w:val="nil"/>
              <w:right w:val="nil"/>
              <w:between w:val="nil"/>
            </w:pBdr>
            <w:tabs>
              <w:tab w:val="left" w:pos="880"/>
              <w:tab w:val="right" w:pos="9350"/>
            </w:tabs>
            <w:spacing w:after="100"/>
            <w:ind w:left="400"/>
            <w:rPr>
              <w:rFonts w:ascii="Calibri" w:eastAsia="Calibri" w:hAnsi="Calibri" w:cs="Calibri"/>
              <w:color w:val="000000"/>
            </w:rPr>
          </w:pPr>
          <w:hyperlink w:anchor="_tyjcwt">
            <w:r>
              <w:rPr>
                <w:color w:val="000000"/>
              </w:rPr>
              <w:t>1.</w:t>
            </w:r>
          </w:hyperlink>
          <w:hyperlink w:anchor="_tyjcwt">
            <w:r>
              <w:rPr>
                <w:rFonts w:ascii="Calibri" w:eastAsia="Calibri" w:hAnsi="Calibri" w:cs="Calibri"/>
                <w:color w:val="000000"/>
              </w:rPr>
              <w:tab/>
            </w:r>
          </w:hyperlink>
          <w:r>
            <w:fldChar w:fldCharType="begin"/>
          </w:r>
          <w:r>
            <w:instrText xml:space="preserve"> PAGEREF _tyjcwt \h </w:instrText>
          </w:r>
          <w:r>
            <w:fldChar w:fldCharType="separate"/>
          </w:r>
          <w:r>
            <w:rPr>
              <w:color w:val="000000"/>
            </w:rPr>
            <w:t>Legislative Requirement</w:t>
          </w:r>
          <w:r>
            <w:rPr>
              <w:color w:val="000000"/>
            </w:rPr>
            <w:tab/>
            <w:t>3</w:t>
          </w:r>
          <w:r>
            <w:fldChar w:fldCharType="end"/>
          </w:r>
        </w:p>
        <w:p w:rsidR="00F87FF3" w:rsidRDefault="00B75A50">
          <w:pPr>
            <w:pBdr>
              <w:top w:val="nil"/>
              <w:left w:val="nil"/>
              <w:bottom w:val="nil"/>
              <w:right w:val="nil"/>
              <w:between w:val="nil"/>
            </w:pBdr>
            <w:tabs>
              <w:tab w:val="left" w:pos="880"/>
              <w:tab w:val="right" w:pos="9350"/>
            </w:tabs>
            <w:spacing w:after="100"/>
            <w:ind w:left="400"/>
            <w:rPr>
              <w:rFonts w:ascii="Calibri" w:eastAsia="Calibri" w:hAnsi="Calibri" w:cs="Calibri"/>
              <w:color w:val="000000"/>
            </w:rPr>
          </w:pPr>
          <w:hyperlink w:anchor="_3dy6vkm">
            <w:r>
              <w:rPr>
                <w:color w:val="000000"/>
              </w:rPr>
              <w:t>2.</w:t>
            </w:r>
          </w:hyperlink>
          <w:hyperlink w:anchor="_3dy6vkm">
            <w:r>
              <w:rPr>
                <w:rFonts w:ascii="Calibri" w:eastAsia="Calibri" w:hAnsi="Calibri" w:cs="Calibri"/>
                <w:color w:val="000000"/>
              </w:rPr>
              <w:tab/>
            </w:r>
          </w:hyperlink>
          <w:r>
            <w:fldChar w:fldCharType="begin"/>
          </w:r>
          <w:r>
            <w:instrText xml:space="preserve"> PAGEREF _3dy6vkm \h </w:instrText>
          </w:r>
          <w:r>
            <w:fldChar w:fldCharType="separate"/>
          </w:r>
          <w:r>
            <w:rPr>
              <w:color w:val="000000"/>
            </w:rPr>
            <w:t>Objectives</w:t>
          </w:r>
          <w:r>
            <w:rPr>
              <w:color w:val="000000"/>
            </w:rPr>
            <w:tab/>
            <w:t>3</w:t>
          </w:r>
          <w:r>
            <w:fldChar w:fldCharType="end"/>
          </w:r>
        </w:p>
        <w:p w:rsidR="00F87FF3" w:rsidRDefault="00B75A50">
          <w:pPr>
            <w:pBdr>
              <w:top w:val="nil"/>
              <w:left w:val="nil"/>
              <w:bottom w:val="nil"/>
              <w:right w:val="nil"/>
              <w:between w:val="nil"/>
            </w:pBdr>
            <w:tabs>
              <w:tab w:val="left" w:pos="880"/>
              <w:tab w:val="right" w:pos="9350"/>
            </w:tabs>
            <w:spacing w:after="100"/>
            <w:ind w:left="400"/>
            <w:rPr>
              <w:rFonts w:ascii="Calibri" w:eastAsia="Calibri" w:hAnsi="Calibri" w:cs="Calibri"/>
              <w:color w:val="000000"/>
            </w:rPr>
          </w:pPr>
          <w:hyperlink w:anchor="_1t3h5sf">
            <w:r>
              <w:rPr>
                <w:color w:val="000000"/>
              </w:rPr>
              <w:t>3.</w:t>
            </w:r>
          </w:hyperlink>
          <w:hyperlink w:anchor="_1t3h5sf">
            <w:r>
              <w:rPr>
                <w:rFonts w:ascii="Calibri" w:eastAsia="Calibri" w:hAnsi="Calibri" w:cs="Calibri"/>
                <w:color w:val="000000"/>
              </w:rPr>
              <w:tab/>
            </w:r>
          </w:hyperlink>
          <w:r>
            <w:fldChar w:fldCharType="begin"/>
          </w:r>
          <w:r>
            <w:instrText xml:space="preserve"> PAGEREF _1t3h5sf \h </w:instrText>
          </w:r>
          <w:r>
            <w:fldChar w:fldCharType="separate"/>
          </w:r>
          <w:r>
            <w:rPr>
              <w:color w:val="000000"/>
            </w:rPr>
            <w:t>Initial Deadline and Frequency</w:t>
          </w:r>
          <w:r>
            <w:rPr>
              <w:color w:val="000000"/>
            </w:rPr>
            <w:tab/>
            <w:t>4</w:t>
          </w:r>
          <w:r>
            <w:fldChar w:fldCharType="end"/>
          </w:r>
        </w:p>
        <w:p w:rsidR="00F87FF3" w:rsidRDefault="00B75A50">
          <w:pPr>
            <w:pBdr>
              <w:top w:val="nil"/>
              <w:left w:val="nil"/>
              <w:bottom w:val="nil"/>
              <w:right w:val="nil"/>
              <w:between w:val="nil"/>
            </w:pBdr>
            <w:tabs>
              <w:tab w:val="left" w:pos="880"/>
              <w:tab w:val="right" w:pos="9350"/>
            </w:tabs>
            <w:spacing w:after="100"/>
            <w:ind w:left="400"/>
            <w:rPr>
              <w:rFonts w:ascii="Calibri" w:eastAsia="Calibri" w:hAnsi="Calibri" w:cs="Calibri"/>
              <w:color w:val="000000"/>
            </w:rPr>
          </w:pPr>
          <w:hyperlink w:anchor="_2s8eyo1">
            <w:r>
              <w:rPr>
                <w:color w:val="000000"/>
              </w:rPr>
              <w:t>4.</w:t>
            </w:r>
          </w:hyperlink>
          <w:hyperlink w:anchor="_2s8eyo1">
            <w:r>
              <w:rPr>
                <w:rFonts w:ascii="Calibri" w:eastAsia="Calibri" w:hAnsi="Calibri" w:cs="Calibri"/>
                <w:color w:val="000000"/>
              </w:rPr>
              <w:tab/>
            </w:r>
          </w:hyperlink>
          <w:r>
            <w:fldChar w:fldCharType="begin"/>
          </w:r>
          <w:r>
            <w:instrText xml:space="preserve"> PAGEREF _2s8eyo1 \h </w:instrText>
          </w:r>
          <w:r>
            <w:fldChar w:fldCharType="separate"/>
          </w:r>
          <w:r>
            <w:rPr>
              <w:color w:val="000000"/>
            </w:rPr>
            <w:t>The Faculty Diversity Program</w:t>
          </w:r>
          <w:r>
            <w:rPr>
              <w:color w:val="000000"/>
            </w:rPr>
            <w:tab/>
            <w:t>4</w:t>
          </w:r>
          <w:r>
            <w:fldChar w:fldCharType="end"/>
          </w:r>
        </w:p>
        <w:p w:rsidR="00F87FF3" w:rsidRDefault="00B75A50">
          <w:pPr>
            <w:pBdr>
              <w:top w:val="nil"/>
              <w:left w:val="nil"/>
              <w:bottom w:val="nil"/>
              <w:right w:val="nil"/>
              <w:between w:val="nil"/>
            </w:pBdr>
            <w:tabs>
              <w:tab w:val="left" w:pos="880"/>
              <w:tab w:val="right" w:pos="9350"/>
            </w:tabs>
            <w:spacing w:after="100"/>
            <w:ind w:left="400"/>
            <w:rPr>
              <w:rFonts w:ascii="Calibri" w:eastAsia="Calibri" w:hAnsi="Calibri" w:cs="Calibri"/>
              <w:color w:val="000000"/>
            </w:rPr>
          </w:pPr>
          <w:hyperlink w:anchor="_17dp8vu">
            <w:r>
              <w:rPr>
                <w:color w:val="000000"/>
              </w:rPr>
              <w:t>5.</w:t>
            </w:r>
          </w:hyperlink>
          <w:hyperlink w:anchor="_17dp8vu">
            <w:r>
              <w:rPr>
                <w:rFonts w:ascii="Calibri" w:eastAsia="Calibri" w:hAnsi="Calibri" w:cs="Calibri"/>
                <w:color w:val="000000"/>
              </w:rPr>
              <w:tab/>
            </w:r>
          </w:hyperlink>
          <w:r>
            <w:fldChar w:fldCharType="begin"/>
          </w:r>
          <w:r>
            <w:instrText xml:space="preserve"> PAGEREF _17dp8vu \h </w:instrText>
          </w:r>
          <w:r>
            <w:fldChar w:fldCharType="separate"/>
          </w:r>
          <w:r>
            <w:rPr>
              <w:color w:val="000000"/>
            </w:rPr>
            <w:t>Curr</w:t>
          </w:r>
          <w:r>
            <w:rPr>
              <w:color w:val="000000"/>
            </w:rPr>
            <w:t>ent Efforts to Diversify Faculty</w:t>
          </w:r>
          <w:r>
            <w:rPr>
              <w:color w:val="000000"/>
            </w:rPr>
            <w:tab/>
            <w:t>4</w:t>
          </w:r>
          <w:r>
            <w:fldChar w:fldCharType="end"/>
          </w:r>
        </w:p>
        <w:p w:rsidR="00F87FF3" w:rsidRDefault="00B75A50">
          <w:pPr>
            <w:pBdr>
              <w:top w:val="nil"/>
              <w:left w:val="nil"/>
              <w:bottom w:val="nil"/>
              <w:right w:val="nil"/>
              <w:between w:val="nil"/>
            </w:pBdr>
            <w:tabs>
              <w:tab w:val="left" w:pos="880"/>
              <w:tab w:val="right" w:pos="9350"/>
            </w:tabs>
            <w:spacing w:after="100"/>
            <w:ind w:left="400"/>
            <w:rPr>
              <w:rFonts w:ascii="Calibri" w:eastAsia="Calibri" w:hAnsi="Calibri" w:cs="Calibri"/>
              <w:color w:val="000000"/>
            </w:rPr>
          </w:pPr>
          <w:hyperlink w:anchor="_3rdcrjn">
            <w:r>
              <w:rPr>
                <w:color w:val="000000"/>
              </w:rPr>
              <w:t>6.</w:t>
            </w:r>
          </w:hyperlink>
          <w:hyperlink w:anchor="_3rdcrjn">
            <w:r>
              <w:rPr>
                <w:rFonts w:ascii="Calibri" w:eastAsia="Calibri" w:hAnsi="Calibri" w:cs="Calibri"/>
                <w:color w:val="000000"/>
              </w:rPr>
              <w:tab/>
            </w:r>
          </w:hyperlink>
          <w:r>
            <w:fldChar w:fldCharType="begin"/>
          </w:r>
          <w:r>
            <w:instrText xml:space="preserve"> PAGEREF _3rdcrjn \h </w:instrText>
          </w:r>
          <w:r>
            <w:fldChar w:fldCharType="separate"/>
          </w:r>
          <w:r>
            <w:rPr>
              <w:color w:val="000000"/>
            </w:rPr>
            <w:t>Areas to Consider</w:t>
          </w:r>
          <w:r>
            <w:rPr>
              <w:color w:val="000000"/>
            </w:rPr>
            <w:tab/>
            <w:t>4</w:t>
          </w:r>
          <w:r>
            <w:fldChar w:fldCharType="end"/>
          </w:r>
        </w:p>
        <w:p w:rsidR="00F87FF3" w:rsidRDefault="00B75A50">
          <w:pPr>
            <w:pBdr>
              <w:top w:val="nil"/>
              <w:left w:val="nil"/>
              <w:bottom w:val="nil"/>
              <w:right w:val="nil"/>
              <w:between w:val="nil"/>
            </w:pBdr>
            <w:tabs>
              <w:tab w:val="left" w:pos="1320"/>
              <w:tab w:val="right" w:pos="9350"/>
            </w:tabs>
            <w:spacing w:after="100"/>
            <w:ind w:left="600"/>
            <w:rPr>
              <w:rFonts w:ascii="Calibri" w:eastAsia="Calibri" w:hAnsi="Calibri" w:cs="Calibri"/>
              <w:color w:val="000000"/>
            </w:rPr>
          </w:pPr>
          <w:hyperlink w:anchor="_26in1rg">
            <w:r>
              <w:rPr>
                <w:color w:val="000000"/>
              </w:rPr>
              <w:t>6.1.</w:t>
            </w:r>
          </w:hyperlink>
          <w:hyperlink w:anchor="_26in1rg">
            <w:r>
              <w:rPr>
                <w:rFonts w:ascii="Calibri" w:eastAsia="Calibri" w:hAnsi="Calibri" w:cs="Calibri"/>
                <w:color w:val="000000"/>
              </w:rPr>
              <w:tab/>
            </w:r>
          </w:hyperlink>
          <w:r>
            <w:fldChar w:fldCharType="begin"/>
          </w:r>
          <w:r>
            <w:instrText xml:space="preserve"> PAGEREF _26in1rg \h </w:instrText>
          </w:r>
          <w:r>
            <w:fldChar w:fldCharType="separate"/>
          </w:r>
          <w:r>
            <w:rPr>
              <w:color w:val="000000"/>
            </w:rPr>
            <w:t>Review of Policies and Procedures</w:t>
          </w:r>
          <w:r>
            <w:rPr>
              <w:color w:val="000000"/>
            </w:rPr>
            <w:tab/>
            <w:t>4</w:t>
          </w:r>
          <w:r>
            <w:fldChar w:fldCharType="end"/>
          </w:r>
        </w:p>
        <w:p w:rsidR="00F87FF3" w:rsidRDefault="00B75A50">
          <w:pPr>
            <w:pBdr>
              <w:top w:val="nil"/>
              <w:left w:val="nil"/>
              <w:bottom w:val="nil"/>
              <w:right w:val="nil"/>
              <w:between w:val="nil"/>
            </w:pBdr>
            <w:tabs>
              <w:tab w:val="left" w:pos="1320"/>
              <w:tab w:val="right" w:pos="9350"/>
            </w:tabs>
            <w:spacing w:after="100"/>
            <w:ind w:left="600"/>
            <w:rPr>
              <w:rFonts w:ascii="Calibri" w:eastAsia="Calibri" w:hAnsi="Calibri" w:cs="Calibri"/>
              <w:color w:val="000000"/>
            </w:rPr>
          </w:pPr>
          <w:hyperlink w:anchor="_lnxbz9">
            <w:r>
              <w:rPr>
                <w:color w:val="000000"/>
              </w:rPr>
              <w:t>6.2.</w:t>
            </w:r>
          </w:hyperlink>
          <w:hyperlink w:anchor="_lnxbz9">
            <w:r>
              <w:rPr>
                <w:rFonts w:ascii="Calibri" w:eastAsia="Calibri" w:hAnsi="Calibri" w:cs="Calibri"/>
                <w:color w:val="000000"/>
              </w:rPr>
              <w:tab/>
            </w:r>
          </w:hyperlink>
          <w:r>
            <w:fldChar w:fldCharType="begin"/>
          </w:r>
          <w:r>
            <w:instrText xml:space="preserve"> PAGEREF _lnxbz9 \h </w:instrText>
          </w:r>
          <w:r>
            <w:fldChar w:fldCharType="separate"/>
          </w:r>
          <w:r>
            <w:rPr>
              <w:color w:val="000000"/>
            </w:rPr>
            <w:t>Implicit Bias Mitigation Training</w:t>
          </w:r>
          <w:r>
            <w:rPr>
              <w:color w:val="000000"/>
            </w:rPr>
            <w:tab/>
            <w:t>5</w:t>
          </w:r>
          <w:r>
            <w:fldChar w:fldCharType="end"/>
          </w:r>
        </w:p>
        <w:p w:rsidR="00F87FF3" w:rsidRDefault="00B75A50">
          <w:pPr>
            <w:pBdr>
              <w:top w:val="nil"/>
              <w:left w:val="nil"/>
              <w:bottom w:val="nil"/>
              <w:right w:val="nil"/>
              <w:between w:val="nil"/>
            </w:pBdr>
            <w:tabs>
              <w:tab w:val="left" w:pos="1320"/>
              <w:tab w:val="right" w:pos="9350"/>
            </w:tabs>
            <w:spacing w:after="100"/>
            <w:ind w:left="600"/>
            <w:rPr>
              <w:rFonts w:ascii="Calibri" w:eastAsia="Calibri" w:hAnsi="Calibri" w:cs="Calibri"/>
              <w:color w:val="000000"/>
            </w:rPr>
          </w:pPr>
          <w:hyperlink w:anchor="_35nkun2">
            <w:r>
              <w:rPr>
                <w:color w:val="000000"/>
              </w:rPr>
              <w:t>6.3.</w:t>
            </w:r>
          </w:hyperlink>
          <w:hyperlink w:anchor="_35nkun2">
            <w:r>
              <w:rPr>
                <w:rFonts w:ascii="Calibri" w:eastAsia="Calibri" w:hAnsi="Calibri" w:cs="Calibri"/>
                <w:color w:val="000000"/>
              </w:rPr>
              <w:tab/>
            </w:r>
          </w:hyperlink>
          <w:r>
            <w:fldChar w:fldCharType="begin"/>
          </w:r>
          <w:r>
            <w:instrText xml:space="preserve"> PAGEREF _35nkun</w:instrText>
          </w:r>
          <w:r>
            <w:instrText xml:space="preserve">2 \h </w:instrText>
          </w:r>
          <w:r>
            <w:fldChar w:fldCharType="separate"/>
          </w:r>
          <w:r>
            <w:rPr>
              <w:color w:val="000000"/>
            </w:rPr>
            <w:t>Diversity Data Reviews</w:t>
          </w:r>
          <w:r>
            <w:rPr>
              <w:color w:val="000000"/>
            </w:rPr>
            <w:tab/>
            <w:t>5</w:t>
          </w:r>
          <w:r>
            <w:fldChar w:fldCharType="end"/>
          </w:r>
        </w:p>
        <w:p w:rsidR="00F87FF3" w:rsidRDefault="00B75A50">
          <w:pPr>
            <w:pBdr>
              <w:top w:val="nil"/>
              <w:left w:val="nil"/>
              <w:bottom w:val="nil"/>
              <w:right w:val="nil"/>
              <w:between w:val="nil"/>
            </w:pBdr>
            <w:tabs>
              <w:tab w:val="right" w:pos="9350"/>
            </w:tabs>
            <w:spacing w:after="100"/>
            <w:ind w:left="400"/>
            <w:rPr>
              <w:rFonts w:ascii="Calibri" w:eastAsia="Calibri" w:hAnsi="Calibri" w:cs="Calibri"/>
              <w:color w:val="000000"/>
            </w:rPr>
          </w:pPr>
          <w:hyperlink w:anchor="_1ksv4uv">
            <w:r>
              <w:rPr>
                <w:color w:val="000000"/>
              </w:rPr>
              <w:t>Conclusion</w:t>
            </w:r>
            <w:r>
              <w:rPr>
                <w:color w:val="000000"/>
              </w:rPr>
              <w:tab/>
              <w:t>6</w:t>
            </w:r>
          </w:hyperlink>
        </w:p>
        <w:p w:rsidR="00F87FF3" w:rsidRDefault="00B75A50">
          <w:pPr>
            <w:pBdr>
              <w:top w:val="nil"/>
              <w:left w:val="nil"/>
              <w:bottom w:val="nil"/>
              <w:right w:val="nil"/>
              <w:between w:val="nil"/>
            </w:pBdr>
            <w:tabs>
              <w:tab w:val="right" w:pos="9350"/>
            </w:tabs>
            <w:spacing w:after="100"/>
            <w:ind w:left="400"/>
            <w:rPr>
              <w:rFonts w:ascii="Calibri" w:eastAsia="Calibri" w:hAnsi="Calibri" w:cs="Calibri"/>
              <w:color w:val="000000"/>
            </w:rPr>
          </w:pPr>
          <w:hyperlink w:anchor="_44sinio">
            <w:r>
              <w:rPr>
                <w:color w:val="000000"/>
              </w:rPr>
              <w:t>Appendix</w:t>
            </w:r>
            <w:r>
              <w:rPr>
                <w:color w:val="000000"/>
              </w:rPr>
              <w:tab/>
              <w:t>7</w:t>
            </w:r>
          </w:hyperlink>
        </w:p>
        <w:p w:rsidR="00F87FF3" w:rsidRDefault="00B75A50">
          <w:pPr>
            <w:pBdr>
              <w:top w:val="nil"/>
              <w:left w:val="nil"/>
              <w:bottom w:val="nil"/>
              <w:right w:val="nil"/>
              <w:between w:val="nil"/>
            </w:pBdr>
            <w:tabs>
              <w:tab w:val="right" w:pos="9350"/>
            </w:tabs>
            <w:spacing w:after="100"/>
            <w:ind w:left="400"/>
            <w:rPr>
              <w:rFonts w:ascii="Calibri" w:eastAsia="Calibri" w:hAnsi="Calibri" w:cs="Calibri"/>
              <w:color w:val="000000"/>
            </w:rPr>
          </w:pPr>
          <w:hyperlink w:anchor="_2jxsxqh">
            <w:r>
              <w:rPr>
                <w:color w:val="000000"/>
              </w:rPr>
              <w:t>Contacts</w:t>
            </w:r>
            <w:r>
              <w:rPr>
                <w:color w:val="000000"/>
              </w:rPr>
              <w:tab/>
              <w:t>7</w:t>
            </w:r>
          </w:hyperlink>
        </w:p>
        <w:p w:rsidR="00F87FF3" w:rsidRDefault="00B75A50">
          <w:pPr>
            <w:tabs>
              <w:tab w:val="right" w:pos="9270"/>
            </w:tabs>
            <w:spacing w:before="60" w:after="80"/>
            <w:ind w:left="720"/>
            <w:rPr>
              <w:color w:val="000000"/>
              <w:sz w:val="24"/>
              <w:szCs w:val="24"/>
            </w:rPr>
          </w:pPr>
          <w:r>
            <w:fldChar w:fldCharType="end"/>
          </w:r>
        </w:p>
      </w:sdtContent>
    </w:sdt>
    <w:p w:rsidR="00F87FF3" w:rsidRDefault="00B75A50">
      <w:pPr>
        <w:pBdr>
          <w:top w:val="nil"/>
          <w:left w:val="nil"/>
          <w:bottom w:val="nil"/>
          <w:right w:val="nil"/>
          <w:between w:val="nil"/>
        </w:pBdr>
        <w:tabs>
          <w:tab w:val="right" w:pos="9170"/>
        </w:tabs>
        <w:spacing w:after="40"/>
        <w:rPr>
          <w:color w:val="000000"/>
          <w:sz w:val="24"/>
          <w:szCs w:val="24"/>
        </w:rPr>
      </w:pPr>
      <w:bookmarkStart w:id="4" w:name="_3znysh7" w:colFirst="0" w:colLast="0"/>
      <w:bookmarkEnd w:id="4"/>
      <w:r>
        <w:br w:type="page"/>
      </w:r>
    </w:p>
    <w:p w:rsidR="00F87FF3" w:rsidRDefault="00B75A50">
      <w:pPr>
        <w:pStyle w:val="Heading2"/>
        <w:tabs>
          <w:tab w:val="left" w:pos="0"/>
        </w:tabs>
        <w:spacing w:before="120" w:after="0"/>
      </w:pPr>
      <w:bookmarkStart w:id="5" w:name="_2et92p0" w:colFirst="0" w:colLast="0"/>
      <w:bookmarkEnd w:id="5"/>
      <w:r>
        <w:lastRenderedPageBreak/>
        <w:t>Faculty Diversity Program at WA CTCs</w:t>
      </w:r>
    </w:p>
    <w:p w:rsidR="00F87FF3" w:rsidRDefault="00B75A50">
      <w:pPr>
        <w:pStyle w:val="Heading3"/>
        <w:numPr>
          <w:ilvl w:val="0"/>
          <w:numId w:val="4"/>
        </w:numPr>
        <w:tabs>
          <w:tab w:val="left" w:pos="0"/>
        </w:tabs>
        <w:spacing w:before="120" w:after="0"/>
        <w:ind w:left="360"/>
      </w:pPr>
      <w:bookmarkStart w:id="6" w:name="_tyjcwt" w:colFirst="0" w:colLast="0"/>
      <w:bookmarkEnd w:id="6"/>
      <w:r>
        <w:t>Legislative Requirement</w:t>
      </w:r>
    </w:p>
    <w:p w:rsidR="00F87FF3" w:rsidRDefault="00B75A50">
      <w:pPr>
        <w:tabs>
          <w:tab w:val="left" w:pos="0"/>
        </w:tabs>
      </w:pPr>
      <w:r>
        <w:t xml:space="preserve">In May 2021, the Washington State Legislature passed </w:t>
      </w:r>
      <w:hyperlink r:id="rId9">
        <w:r>
          <w:rPr>
            <w:color w:val="0000FF"/>
            <w:highlight w:val="white"/>
            <w:u w:val="single"/>
          </w:rPr>
          <w:t>Engrossed S</w:t>
        </w:r>
        <w:r>
          <w:rPr>
            <w:color w:val="0000FF"/>
            <w:highlight w:val="white"/>
            <w:u w:val="single"/>
          </w:rPr>
          <w:t>ubstitute Senate Bill 5194</w:t>
        </w:r>
      </w:hyperlink>
      <w:r>
        <w:t>, an act relating to equity and access in higher education. E2SSB 5194 is a historic piece of legislation with significant investments for advancing the growing equity efforts within Washington state’s community and technical coll</w:t>
      </w:r>
      <w:r>
        <w:t>ege system.</w:t>
      </w:r>
    </w:p>
    <w:p w:rsidR="00F87FF3" w:rsidRDefault="00F87FF3">
      <w:pPr>
        <w:tabs>
          <w:tab w:val="left" w:pos="0"/>
        </w:tabs>
      </w:pPr>
    </w:p>
    <w:p w:rsidR="00F87FF3" w:rsidRDefault="00B75A50">
      <w:pPr>
        <w:tabs>
          <w:tab w:val="left" w:pos="0"/>
        </w:tabs>
      </w:pPr>
      <w:r>
        <w:t xml:space="preserve">E2SB 5194, Section 3(1) outlines the requirement that </w:t>
      </w:r>
      <w:r>
        <w:rPr>
          <w:color w:val="000000"/>
        </w:rPr>
        <w:t>all community and technical colleges must submit, on a biennial basis, strategic plans to the state board for community and technical colleges for achieving diversity, equity, and inclusion</w:t>
      </w:r>
      <w:r>
        <w:rPr>
          <w:color w:val="000000"/>
        </w:rPr>
        <w:t xml:space="preserve"> of all races on their campuses.</w:t>
      </w:r>
      <w:r>
        <w:t xml:space="preserve"> Included in Section 3(5) is the requirement for the state board for community and technical colleges (SBCTC) </w:t>
      </w:r>
      <w:r>
        <w:rPr>
          <w:color w:val="000000"/>
        </w:rPr>
        <w:t>to develop a model faculty diversity program designed to provide for the retention and recruitment of faculty from</w:t>
      </w:r>
      <w:r>
        <w:rPr>
          <w:color w:val="000000"/>
        </w:rPr>
        <w:t xml:space="preserve"> all racial, ethnic, and cultural backgrounds. The faculty diversity program must also be based on proven practices in diversity hiring processes.</w:t>
      </w:r>
    </w:p>
    <w:p w:rsidR="00F87FF3" w:rsidRDefault="00F87FF3">
      <w:pPr>
        <w:tabs>
          <w:tab w:val="left" w:pos="0"/>
        </w:tabs>
      </w:pPr>
    </w:p>
    <w:p w:rsidR="00F87FF3" w:rsidRDefault="00B75A50">
      <w:pPr>
        <w:tabs>
          <w:tab w:val="left" w:pos="0"/>
        </w:tabs>
      </w:pPr>
      <w:r>
        <w:rPr>
          <w:color w:val="0E101A"/>
          <w:highlight w:val="white"/>
        </w:rPr>
        <w:t>This faculty diversity model template intends to provide colleges a blueprint to assist with the development</w:t>
      </w:r>
      <w:r>
        <w:rPr>
          <w:color w:val="0E101A"/>
          <w:highlight w:val="white"/>
        </w:rPr>
        <w:t xml:space="preserve"> of their faculty diversity program, a key component in their DEI Strategic Plans as outlined in Section 3, </w:t>
      </w:r>
      <w:r>
        <w:t xml:space="preserve">E2SSB 5194. </w:t>
      </w:r>
      <w:r>
        <w:rPr>
          <w:color w:val="0E101A"/>
          <w:highlight w:val="white"/>
        </w:rPr>
        <w:t xml:space="preserve">The template also includes elements of the Workforce Diversity Plan submitted by each college in December 2020 per </w:t>
      </w:r>
      <w:hyperlink r:id="rId10">
        <w:r>
          <w:rPr>
            <w:color w:val="0563C1"/>
            <w:u w:val="single"/>
          </w:rPr>
          <w:t>Workforce Diversity Directive - State HR Directive 20-02</w:t>
        </w:r>
      </w:hyperlink>
      <w:r>
        <w:rPr>
          <w:color w:val="0E101A"/>
          <w:highlight w:val="white"/>
        </w:rPr>
        <w:t>. The template gives colleges the opportunity to build on their current efforts for diversifying faculty as d</w:t>
      </w:r>
      <w:r>
        <w:rPr>
          <w:color w:val="0E101A"/>
          <w:highlight w:val="white"/>
        </w:rPr>
        <w:t>etailed in their workforce diversity plans and assists in highlighting areas for consideration.</w:t>
      </w:r>
      <w:r>
        <w:t xml:space="preserve"> </w:t>
      </w:r>
    </w:p>
    <w:p w:rsidR="00F87FF3" w:rsidRDefault="00F87FF3">
      <w:pPr>
        <w:tabs>
          <w:tab w:val="left" w:pos="0"/>
        </w:tabs>
      </w:pPr>
    </w:p>
    <w:p w:rsidR="00F87FF3" w:rsidRDefault="00B75A50">
      <w:pPr>
        <w:tabs>
          <w:tab w:val="left" w:pos="0"/>
        </w:tabs>
        <w:rPr>
          <w:rFonts w:ascii="Calibri" w:eastAsia="Calibri" w:hAnsi="Calibri" w:cs="Calibri"/>
          <w:color w:val="0E101A"/>
          <w:highlight w:val="white"/>
        </w:rPr>
      </w:pPr>
      <w:r>
        <w:t xml:space="preserve">This template does not include guidance on specific programming, but is a collective of areas for colleges to consider in the planning and implementation of their faculty diversity program. As an appendix to this document, the SBCTC has provided a list of </w:t>
      </w:r>
      <w:r>
        <w:t xml:space="preserve">resources that may be useful in meeting the requirements of E2SB5194, Section 3. </w:t>
      </w:r>
    </w:p>
    <w:p w:rsidR="00F87FF3" w:rsidRDefault="00F87FF3">
      <w:pPr>
        <w:tabs>
          <w:tab w:val="left" w:pos="0"/>
        </w:tabs>
      </w:pPr>
    </w:p>
    <w:p w:rsidR="00F87FF3" w:rsidRDefault="00B75A50">
      <w:pPr>
        <w:pStyle w:val="Heading3"/>
        <w:numPr>
          <w:ilvl w:val="0"/>
          <w:numId w:val="5"/>
        </w:numPr>
        <w:tabs>
          <w:tab w:val="left" w:pos="0"/>
          <w:tab w:val="left" w:pos="630"/>
          <w:tab w:val="left" w:pos="990"/>
        </w:tabs>
        <w:spacing w:before="0" w:after="0"/>
        <w:ind w:left="360"/>
      </w:pPr>
      <w:bookmarkStart w:id="7" w:name="_3dy6vkm" w:colFirst="0" w:colLast="0"/>
      <w:bookmarkEnd w:id="7"/>
      <w:r>
        <w:t>Objectives</w:t>
      </w:r>
    </w:p>
    <w:p w:rsidR="00F87FF3" w:rsidRDefault="00B75A50">
      <w:pPr>
        <w:pBdr>
          <w:top w:val="nil"/>
          <w:left w:val="nil"/>
          <w:bottom w:val="nil"/>
          <w:right w:val="nil"/>
          <w:between w:val="nil"/>
        </w:pBdr>
        <w:tabs>
          <w:tab w:val="left" w:pos="0"/>
        </w:tabs>
        <w:rPr>
          <w:color w:val="000000"/>
        </w:rPr>
      </w:pPr>
      <w:r>
        <w:rPr>
          <w:color w:val="000000"/>
        </w:rPr>
        <w:t>When developing their faculty diversity program, colleges should ensure that the program’s strategies successfully meet the objectives of the legislative requirement. In other words, program outcomes, at minimum, should include:</w:t>
      </w:r>
    </w:p>
    <w:p w:rsidR="00F87FF3" w:rsidRDefault="00B75A50">
      <w:pPr>
        <w:numPr>
          <w:ilvl w:val="0"/>
          <w:numId w:val="7"/>
        </w:numPr>
        <w:pBdr>
          <w:top w:val="nil"/>
          <w:left w:val="nil"/>
          <w:bottom w:val="nil"/>
          <w:right w:val="nil"/>
          <w:between w:val="nil"/>
        </w:pBdr>
        <w:tabs>
          <w:tab w:val="left" w:pos="0"/>
        </w:tabs>
        <w:rPr>
          <w:color w:val="000000"/>
        </w:rPr>
      </w:pPr>
      <w:r>
        <w:rPr>
          <w:color w:val="000000"/>
        </w:rPr>
        <w:t xml:space="preserve">Successful recruitment and </w:t>
      </w:r>
      <w:r>
        <w:rPr>
          <w:color w:val="000000"/>
        </w:rPr>
        <w:t>retention of faculty from all racial, ethnic, and cultural backgrounds;</w:t>
      </w:r>
    </w:p>
    <w:p w:rsidR="00F87FF3" w:rsidRDefault="00B75A50">
      <w:pPr>
        <w:numPr>
          <w:ilvl w:val="0"/>
          <w:numId w:val="7"/>
        </w:numPr>
        <w:pBdr>
          <w:top w:val="nil"/>
          <w:left w:val="nil"/>
          <w:bottom w:val="nil"/>
          <w:right w:val="nil"/>
          <w:between w:val="nil"/>
        </w:pBdr>
        <w:tabs>
          <w:tab w:val="left" w:pos="0"/>
        </w:tabs>
        <w:rPr>
          <w:color w:val="000000"/>
        </w:rPr>
      </w:pPr>
      <w:r>
        <w:rPr>
          <w:color w:val="000000"/>
        </w:rPr>
        <w:t>Evidence of utilizing proven practices in diversity hiring processes.</w:t>
      </w:r>
    </w:p>
    <w:p w:rsidR="00F87FF3" w:rsidRDefault="00F87FF3">
      <w:pPr>
        <w:pBdr>
          <w:top w:val="nil"/>
          <w:left w:val="nil"/>
          <w:bottom w:val="nil"/>
          <w:right w:val="nil"/>
          <w:between w:val="nil"/>
        </w:pBdr>
        <w:tabs>
          <w:tab w:val="left" w:pos="0"/>
        </w:tabs>
        <w:rPr>
          <w:color w:val="000000"/>
        </w:rPr>
      </w:pPr>
    </w:p>
    <w:p w:rsidR="00F87FF3" w:rsidRDefault="00B75A50">
      <w:pPr>
        <w:pBdr>
          <w:top w:val="nil"/>
          <w:left w:val="nil"/>
          <w:bottom w:val="nil"/>
          <w:right w:val="nil"/>
          <w:between w:val="nil"/>
        </w:pBdr>
        <w:tabs>
          <w:tab w:val="left" w:pos="0"/>
        </w:tabs>
        <w:rPr>
          <w:color w:val="000000"/>
        </w:rPr>
      </w:pPr>
      <w:r>
        <w:rPr>
          <w:color w:val="000000"/>
        </w:rPr>
        <w:t>NOTE: Cross-divisional partnerships are critical in the development and delivery of a successful faculty diversit</w:t>
      </w:r>
      <w:r>
        <w:rPr>
          <w:color w:val="000000"/>
        </w:rPr>
        <w:t>y program. Human resources; diversity and equity; instruction; research; and student services departments should work collaboratively in the development of their program. Colleges should also consider including external partners, such as community-based or</w:t>
      </w:r>
      <w:r>
        <w:rPr>
          <w:color w:val="000000"/>
        </w:rPr>
        <w:t>ganizations, local and state government agencies, and other critical stakeholders.</w:t>
      </w:r>
    </w:p>
    <w:p w:rsidR="00F87FF3" w:rsidRDefault="00F87FF3">
      <w:pPr>
        <w:pBdr>
          <w:top w:val="nil"/>
          <w:left w:val="nil"/>
          <w:bottom w:val="nil"/>
          <w:right w:val="nil"/>
          <w:between w:val="nil"/>
        </w:pBdr>
        <w:tabs>
          <w:tab w:val="left" w:pos="0"/>
        </w:tabs>
        <w:rPr>
          <w:color w:val="000000"/>
        </w:rPr>
      </w:pPr>
    </w:p>
    <w:p w:rsidR="00F87FF3" w:rsidRDefault="00B75A50">
      <w:pPr>
        <w:pBdr>
          <w:top w:val="nil"/>
          <w:left w:val="nil"/>
          <w:bottom w:val="nil"/>
          <w:right w:val="nil"/>
          <w:between w:val="nil"/>
        </w:pBdr>
        <w:tabs>
          <w:tab w:val="left" w:pos="0"/>
        </w:tabs>
        <w:rPr>
          <w:color w:val="000000"/>
        </w:rPr>
      </w:pPr>
      <w:r>
        <w:rPr>
          <w:color w:val="000000"/>
        </w:rPr>
        <w:lastRenderedPageBreak/>
        <w:t>Colleges should create a process that best fits their current operational processes and ensures a continuous review of their faculty diversity program, including progress f</w:t>
      </w:r>
      <w:r>
        <w:rPr>
          <w:color w:val="000000"/>
        </w:rPr>
        <w:t>indings, critical gaps, growth areas, etc.</w:t>
      </w:r>
    </w:p>
    <w:p w:rsidR="00F87FF3" w:rsidRDefault="00F87FF3">
      <w:pPr>
        <w:pBdr>
          <w:top w:val="nil"/>
          <w:left w:val="nil"/>
          <w:bottom w:val="nil"/>
          <w:right w:val="nil"/>
          <w:between w:val="nil"/>
        </w:pBdr>
        <w:tabs>
          <w:tab w:val="left" w:pos="0"/>
        </w:tabs>
        <w:rPr>
          <w:color w:val="000000"/>
        </w:rPr>
      </w:pPr>
    </w:p>
    <w:p w:rsidR="00F87FF3" w:rsidRDefault="00B75A50">
      <w:pPr>
        <w:pStyle w:val="Heading3"/>
        <w:numPr>
          <w:ilvl w:val="0"/>
          <w:numId w:val="5"/>
        </w:numPr>
        <w:tabs>
          <w:tab w:val="left" w:pos="0"/>
          <w:tab w:val="left" w:pos="990"/>
        </w:tabs>
        <w:spacing w:before="0" w:after="0"/>
        <w:ind w:left="360"/>
      </w:pPr>
      <w:bookmarkStart w:id="8" w:name="_1t3h5sf" w:colFirst="0" w:colLast="0"/>
      <w:bookmarkEnd w:id="8"/>
      <w:r>
        <w:t>Initial Deadline and Frequency</w:t>
      </w:r>
    </w:p>
    <w:p w:rsidR="00F87FF3" w:rsidRDefault="00B75A50">
      <w:pPr>
        <w:pBdr>
          <w:top w:val="nil"/>
          <w:left w:val="nil"/>
          <w:bottom w:val="nil"/>
          <w:right w:val="nil"/>
          <w:between w:val="nil"/>
        </w:pBdr>
        <w:tabs>
          <w:tab w:val="left" w:pos="0"/>
        </w:tabs>
        <w:rPr>
          <w:color w:val="000000"/>
        </w:rPr>
      </w:pPr>
      <w:bookmarkStart w:id="9" w:name="_4d34og8" w:colFirst="0" w:colLast="0"/>
      <w:bookmarkEnd w:id="9"/>
      <w:r>
        <w:rPr>
          <w:color w:val="000000"/>
        </w:rPr>
        <w:t>Colleges must submit their DEI Strategic Plans on a biennial basis beginning July 30, 2022 and include elements of their faculty diversity program within their plans.</w:t>
      </w:r>
    </w:p>
    <w:p w:rsidR="00F87FF3" w:rsidRDefault="00F87FF3">
      <w:pPr>
        <w:widowControl w:val="0"/>
        <w:pBdr>
          <w:top w:val="nil"/>
          <w:left w:val="nil"/>
          <w:bottom w:val="nil"/>
          <w:right w:val="nil"/>
          <w:between w:val="nil"/>
        </w:pBdr>
        <w:tabs>
          <w:tab w:val="left" w:pos="0"/>
        </w:tabs>
        <w:rPr>
          <w:color w:val="000000"/>
        </w:rPr>
      </w:pPr>
    </w:p>
    <w:p w:rsidR="00F87FF3" w:rsidRDefault="00B75A50">
      <w:pPr>
        <w:widowControl w:val="0"/>
        <w:pBdr>
          <w:top w:val="nil"/>
          <w:left w:val="nil"/>
          <w:bottom w:val="nil"/>
          <w:right w:val="nil"/>
          <w:between w:val="nil"/>
        </w:pBdr>
        <w:tabs>
          <w:tab w:val="left" w:pos="0"/>
        </w:tabs>
        <w:rPr>
          <w:color w:val="000000"/>
        </w:rPr>
      </w:pPr>
      <w:r>
        <w:rPr>
          <w:color w:val="000000"/>
        </w:rPr>
        <w:t>NOTE: Colleges should keep in mind when implementing the 200 new faculty conversions (outlined in E2SSB 5194, Section 5) that there is a specific intent from the legislature to have the conversions align with the college’s DEI strategic plans. Colleges sho</w:t>
      </w:r>
      <w:r>
        <w:rPr>
          <w:color w:val="000000"/>
        </w:rPr>
        <w:t>uld utilize their faculty diversity program identified in their plans to help meet these ends.</w:t>
      </w:r>
    </w:p>
    <w:p w:rsidR="00F87FF3" w:rsidRDefault="00F87FF3">
      <w:pPr>
        <w:widowControl w:val="0"/>
        <w:pBdr>
          <w:top w:val="nil"/>
          <w:left w:val="nil"/>
          <w:bottom w:val="nil"/>
          <w:right w:val="nil"/>
          <w:between w:val="nil"/>
        </w:pBdr>
        <w:tabs>
          <w:tab w:val="left" w:pos="0"/>
        </w:tabs>
        <w:rPr>
          <w:color w:val="000000"/>
        </w:rPr>
      </w:pPr>
    </w:p>
    <w:p w:rsidR="00F87FF3" w:rsidRDefault="00B75A50">
      <w:pPr>
        <w:pStyle w:val="Heading3"/>
        <w:numPr>
          <w:ilvl w:val="0"/>
          <w:numId w:val="5"/>
        </w:numPr>
        <w:tabs>
          <w:tab w:val="left" w:pos="0"/>
        </w:tabs>
        <w:spacing w:before="0" w:after="0"/>
        <w:ind w:left="360"/>
      </w:pPr>
      <w:bookmarkStart w:id="10" w:name="_2s8eyo1" w:colFirst="0" w:colLast="0"/>
      <w:bookmarkEnd w:id="10"/>
      <w:r>
        <w:t>The Faculty Diversity Program</w:t>
      </w:r>
    </w:p>
    <w:p w:rsidR="00F87FF3" w:rsidRDefault="00B75A50">
      <w:pPr>
        <w:pBdr>
          <w:top w:val="nil"/>
          <w:left w:val="nil"/>
          <w:bottom w:val="nil"/>
          <w:right w:val="nil"/>
          <w:between w:val="nil"/>
        </w:pBdr>
        <w:tabs>
          <w:tab w:val="left" w:pos="0"/>
        </w:tabs>
        <w:rPr>
          <w:color w:val="000000"/>
        </w:rPr>
      </w:pPr>
      <w:r>
        <w:rPr>
          <w:color w:val="000000"/>
        </w:rPr>
        <w:t>In keeping with the decentralized nature of the community and technical college (CTC) system and the aspect of local control for e</w:t>
      </w:r>
      <w:r>
        <w:rPr>
          <w:color w:val="000000"/>
        </w:rPr>
        <w:t>ach individual college, the State Board will not mandate a specific program to be created and delivered, but does provide a list of resources (see Appendix below) and considerations to assist colleges in developing their own faculty diversity programs. The</w:t>
      </w:r>
      <w:r>
        <w:rPr>
          <w:color w:val="000000"/>
        </w:rPr>
        <w:t xml:space="preserve"> resource list is solely intended to provide options in support of each college’s faculty diversity program and there is no requirement for colleges to use any of the resources.</w:t>
      </w:r>
    </w:p>
    <w:p w:rsidR="00F87FF3" w:rsidRDefault="00F87FF3">
      <w:pPr>
        <w:pBdr>
          <w:top w:val="nil"/>
          <w:left w:val="nil"/>
          <w:bottom w:val="nil"/>
          <w:right w:val="nil"/>
          <w:between w:val="nil"/>
        </w:pBdr>
        <w:tabs>
          <w:tab w:val="left" w:pos="0"/>
        </w:tabs>
        <w:rPr>
          <w:color w:val="000000"/>
        </w:rPr>
      </w:pPr>
    </w:p>
    <w:p w:rsidR="00F87FF3" w:rsidRDefault="00B75A50">
      <w:pPr>
        <w:pBdr>
          <w:top w:val="nil"/>
          <w:left w:val="nil"/>
          <w:bottom w:val="nil"/>
          <w:right w:val="nil"/>
          <w:between w:val="nil"/>
        </w:pBdr>
        <w:tabs>
          <w:tab w:val="left" w:pos="0"/>
        </w:tabs>
        <w:rPr>
          <w:color w:val="000000"/>
        </w:rPr>
      </w:pPr>
      <w:r>
        <w:rPr>
          <w:color w:val="000000"/>
        </w:rPr>
        <w:t>Colleges that have concerns about the design or implementation of their facul</w:t>
      </w:r>
      <w:r>
        <w:rPr>
          <w:color w:val="000000"/>
        </w:rPr>
        <w:t>ty diversity program are encouraged to reach out to SBCTC.</w:t>
      </w:r>
    </w:p>
    <w:p w:rsidR="00F87FF3" w:rsidRDefault="00F87FF3">
      <w:pPr>
        <w:pBdr>
          <w:top w:val="nil"/>
          <w:left w:val="nil"/>
          <w:bottom w:val="nil"/>
          <w:right w:val="nil"/>
          <w:between w:val="nil"/>
        </w:pBdr>
        <w:tabs>
          <w:tab w:val="left" w:pos="0"/>
        </w:tabs>
        <w:rPr>
          <w:color w:val="000000"/>
        </w:rPr>
      </w:pPr>
    </w:p>
    <w:p w:rsidR="00F87FF3" w:rsidRDefault="00B75A50">
      <w:pPr>
        <w:pStyle w:val="Heading3"/>
        <w:numPr>
          <w:ilvl w:val="0"/>
          <w:numId w:val="5"/>
        </w:numPr>
        <w:tabs>
          <w:tab w:val="left" w:pos="0"/>
        </w:tabs>
        <w:spacing w:before="0" w:after="0"/>
        <w:ind w:left="360"/>
      </w:pPr>
      <w:bookmarkStart w:id="11" w:name="_17dp8vu" w:colFirst="0" w:colLast="0"/>
      <w:bookmarkEnd w:id="11"/>
      <w:r>
        <w:t>Current Efforts to Diversify Faculty</w:t>
      </w:r>
    </w:p>
    <w:p w:rsidR="00F87FF3" w:rsidRDefault="00B75A50">
      <w:pPr>
        <w:pBdr>
          <w:top w:val="nil"/>
          <w:left w:val="nil"/>
          <w:bottom w:val="nil"/>
          <w:right w:val="nil"/>
          <w:between w:val="nil"/>
        </w:pBdr>
        <w:tabs>
          <w:tab w:val="left" w:pos="0"/>
        </w:tabs>
        <w:rPr>
          <w:color w:val="000000"/>
        </w:rPr>
      </w:pPr>
      <w:r>
        <w:rPr>
          <w:color w:val="000000"/>
        </w:rPr>
        <w:t>Many colleges may have already implemented strategies for diversifying their faculty and/or begun delivering on their workforce diversity plan. A college may u</w:t>
      </w:r>
      <w:r>
        <w:rPr>
          <w:color w:val="000000"/>
        </w:rPr>
        <w:t>tilize an existing faculty diversity program and/or their workforce diversity plan if it meets the intent of the legislation and has proven successful in meeting the elements listed in Section 2, Objectives.</w:t>
      </w:r>
    </w:p>
    <w:p w:rsidR="00F87FF3" w:rsidRDefault="00F87FF3">
      <w:pPr>
        <w:tabs>
          <w:tab w:val="left" w:pos="0"/>
        </w:tabs>
      </w:pPr>
    </w:p>
    <w:p w:rsidR="00F87FF3" w:rsidRDefault="00B75A50">
      <w:pPr>
        <w:pStyle w:val="Heading3"/>
        <w:numPr>
          <w:ilvl w:val="0"/>
          <w:numId w:val="5"/>
        </w:numPr>
        <w:tabs>
          <w:tab w:val="left" w:pos="0"/>
          <w:tab w:val="left" w:pos="990"/>
        </w:tabs>
        <w:spacing w:before="0" w:after="0"/>
        <w:ind w:left="360"/>
      </w:pPr>
      <w:bookmarkStart w:id="12" w:name="_3rdcrjn" w:colFirst="0" w:colLast="0"/>
      <w:bookmarkEnd w:id="12"/>
      <w:r>
        <w:t>Areas to Consider</w:t>
      </w:r>
    </w:p>
    <w:p w:rsidR="00F87FF3" w:rsidRDefault="00B75A50">
      <w:pPr>
        <w:pStyle w:val="Heading4"/>
        <w:numPr>
          <w:ilvl w:val="1"/>
          <w:numId w:val="5"/>
        </w:numPr>
        <w:tabs>
          <w:tab w:val="left" w:pos="0"/>
        </w:tabs>
        <w:spacing w:before="0"/>
        <w:ind w:left="0" w:firstLine="0"/>
        <w:rPr>
          <w:color w:val="000000"/>
        </w:rPr>
      </w:pPr>
      <w:bookmarkStart w:id="13" w:name="_26in1rg" w:colFirst="0" w:colLast="0"/>
      <w:bookmarkEnd w:id="13"/>
      <w:r>
        <w:rPr>
          <w:color w:val="000000"/>
        </w:rPr>
        <w:t xml:space="preserve">Review of Policies and Procedures </w:t>
      </w:r>
    </w:p>
    <w:p w:rsidR="00F87FF3" w:rsidRDefault="00B75A50">
      <w:pPr>
        <w:tabs>
          <w:tab w:val="left" w:pos="0"/>
        </w:tabs>
      </w:pPr>
      <w:r>
        <w:t>As colleges begin to create and/or augment their faculty diversity program, it is critical to consider a review of policies and procedures that inform their current hiring practices. Below are some initial steps to consid</w:t>
      </w:r>
      <w:r>
        <w:t>er:</w:t>
      </w:r>
    </w:p>
    <w:p w:rsidR="00F87FF3" w:rsidRDefault="00B75A50">
      <w:pPr>
        <w:numPr>
          <w:ilvl w:val="0"/>
          <w:numId w:val="1"/>
        </w:numPr>
        <w:pBdr>
          <w:top w:val="nil"/>
          <w:left w:val="nil"/>
          <w:bottom w:val="nil"/>
          <w:right w:val="nil"/>
          <w:between w:val="nil"/>
        </w:pBdr>
        <w:tabs>
          <w:tab w:val="left" w:pos="0"/>
        </w:tabs>
        <w:rPr>
          <w:color w:val="000000"/>
        </w:rPr>
      </w:pPr>
      <w:r>
        <w:rPr>
          <w:color w:val="000000"/>
        </w:rPr>
        <w:t>Identify existing policies or procedures needing review and/or update;</w:t>
      </w:r>
    </w:p>
    <w:p w:rsidR="00F87FF3" w:rsidRDefault="00B75A50">
      <w:pPr>
        <w:numPr>
          <w:ilvl w:val="0"/>
          <w:numId w:val="1"/>
        </w:numPr>
        <w:pBdr>
          <w:top w:val="nil"/>
          <w:left w:val="nil"/>
          <w:bottom w:val="nil"/>
          <w:right w:val="nil"/>
          <w:between w:val="nil"/>
        </w:pBdr>
        <w:tabs>
          <w:tab w:val="left" w:pos="0"/>
        </w:tabs>
        <w:rPr>
          <w:color w:val="000000"/>
        </w:rPr>
      </w:pPr>
      <w:r>
        <w:rPr>
          <w:color w:val="000000"/>
        </w:rPr>
        <w:t>Utilize a racial equity tool and/or rubric in the review;</w:t>
      </w:r>
    </w:p>
    <w:p w:rsidR="00F87FF3" w:rsidRDefault="00B75A50">
      <w:pPr>
        <w:numPr>
          <w:ilvl w:val="0"/>
          <w:numId w:val="1"/>
        </w:numPr>
        <w:pBdr>
          <w:top w:val="nil"/>
          <w:left w:val="nil"/>
          <w:bottom w:val="nil"/>
          <w:right w:val="nil"/>
          <w:between w:val="nil"/>
        </w:pBdr>
        <w:tabs>
          <w:tab w:val="left" w:pos="0"/>
        </w:tabs>
        <w:rPr>
          <w:color w:val="000000"/>
        </w:rPr>
      </w:pPr>
      <w:r>
        <w:rPr>
          <w:color w:val="000000"/>
        </w:rPr>
        <w:t>Engage DEI experts and other stakeholders in the review of policies;</w:t>
      </w:r>
    </w:p>
    <w:p w:rsidR="00F87FF3" w:rsidRDefault="00B75A50">
      <w:pPr>
        <w:numPr>
          <w:ilvl w:val="0"/>
          <w:numId w:val="1"/>
        </w:numPr>
        <w:pBdr>
          <w:top w:val="nil"/>
          <w:left w:val="nil"/>
          <w:bottom w:val="nil"/>
          <w:right w:val="nil"/>
          <w:between w:val="nil"/>
        </w:pBdr>
        <w:tabs>
          <w:tab w:val="left" w:pos="0"/>
        </w:tabs>
        <w:rPr>
          <w:color w:val="000000"/>
        </w:rPr>
      </w:pPr>
      <w:r>
        <w:rPr>
          <w:color w:val="000000"/>
        </w:rPr>
        <w:t>Assign a lead and establish a timeline to accomplish t</w:t>
      </w:r>
      <w:r>
        <w:rPr>
          <w:color w:val="000000"/>
        </w:rPr>
        <w:t>he review;</w:t>
      </w:r>
    </w:p>
    <w:p w:rsidR="00F87FF3" w:rsidRDefault="00B75A50">
      <w:pPr>
        <w:numPr>
          <w:ilvl w:val="0"/>
          <w:numId w:val="1"/>
        </w:numPr>
        <w:pBdr>
          <w:top w:val="nil"/>
          <w:left w:val="nil"/>
          <w:bottom w:val="nil"/>
          <w:right w:val="nil"/>
          <w:between w:val="nil"/>
        </w:pBdr>
        <w:tabs>
          <w:tab w:val="left" w:pos="0"/>
        </w:tabs>
        <w:rPr>
          <w:color w:val="000000"/>
        </w:rPr>
      </w:pPr>
      <w:r>
        <w:rPr>
          <w:color w:val="000000"/>
        </w:rPr>
        <w:t>Consider other DEI policies to create and/or adopt;</w:t>
      </w:r>
    </w:p>
    <w:p w:rsidR="00F87FF3" w:rsidRDefault="00B75A50">
      <w:pPr>
        <w:numPr>
          <w:ilvl w:val="0"/>
          <w:numId w:val="1"/>
        </w:numPr>
        <w:pBdr>
          <w:top w:val="nil"/>
          <w:left w:val="nil"/>
          <w:bottom w:val="nil"/>
          <w:right w:val="nil"/>
          <w:between w:val="nil"/>
        </w:pBdr>
        <w:tabs>
          <w:tab w:val="left" w:pos="0"/>
        </w:tabs>
        <w:rPr>
          <w:color w:val="000000"/>
        </w:rPr>
      </w:pPr>
      <w:r>
        <w:rPr>
          <w:color w:val="000000"/>
        </w:rPr>
        <w:t>Establish at least one measure of success for each policy and procedure, and clearly define any desired outcomes.</w:t>
      </w:r>
    </w:p>
    <w:p w:rsidR="00F87FF3" w:rsidRDefault="00F87FF3">
      <w:pPr>
        <w:pBdr>
          <w:top w:val="nil"/>
          <w:left w:val="nil"/>
          <w:bottom w:val="nil"/>
          <w:right w:val="nil"/>
          <w:between w:val="nil"/>
        </w:pBdr>
        <w:tabs>
          <w:tab w:val="left" w:pos="0"/>
        </w:tabs>
        <w:rPr>
          <w:color w:val="000000"/>
        </w:rPr>
      </w:pPr>
    </w:p>
    <w:p w:rsidR="00F87FF3" w:rsidRDefault="00B75A50">
      <w:pPr>
        <w:pBdr>
          <w:top w:val="nil"/>
          <w:left w:val="nil"/>
          <w:bottom w:val="nil"/>
          <w:right w:val="nil"/>
          <w:between w:val="nil"/>
        </w:pBdr>
        <w:tabs>
          <w:tab w:val="left" w:pos="0"/>
        </w:tabs>
        <w:rPr>
          <w:color w:val="000000"/>
        </w:rPr>
      </w:pPr>
      <w:r>
        <w:rPr>
          <w:color w:val="000000"/>
        </w:rPr>
        <w:lastRenderedPageBreak/>
        <w:t>NOTE: Cross-departmental collaboration with human resources, diversity and equ</w:t>
      </w:r>
      <w:r>
        <w:rPr>
          <w:color w:val="000000"/>
        </w:rPr>
        <w:t>ity officers, and executive leadership to establish college goals, timelines, and desired DEI outcomes is critical in building an effective faculty diversity program.</w:t>
      </w:r>
    </w:p>
    <w:p w:rsidR="00F87FF3" w:rsidRDefault="00F87FF3">
      <w:pPr>
        <w:pBdr>
          <w:top w:val="nil"/>
          <w:left w:val="nil"/>
          <w:bottom w:val="nil"/>
          <w:right w:val="nil"/>
          <w:between w:val="nil"/>
        </w:pBdr>
        <w:tabs>
          <w:tab w:val="left" w:pos="0"/>
        </w:tabs>
        <w:rPr>
          <w:color w:val="000000"/>
        </w:rPr>
      </w:pPr>
    </w:p>
    <w:p w:rsidR="00F87FF3" w:rsidRDefault="00B75A50">
      <w:pPr>
        <w:pStyle w:val="Heading4"/>
        <w:numPr>
          <w:ilvl w:val="1"/>
          <w:numId w:val="5"/>
        </w:numPr>
        <w:tabs>
          <w:tab w:val="left" w:pos="0"/>
        </w:tabs>
        <w:spacing w:before="0"/>
        <w:ind w:left="0" w:firstLine="0"/>
        <w:rPr>
          <w:color w:val="000000"/>
        </w:rPr>
      </w:pPr>
      <w:bookmarkStart w:id="14" w:name="_lnxbz9" w:colFirst="0" w:colLast="0"/>
      <w:bookmarkEnd w:id="14"/>
      <w:r>
        <w:rPr>
          <w:color w:val="000000"/>
        </w:rPr>
        <w:t>Implicit Bias Mitigation Training</w:t>
      </w:r>
    </w:p>
    <w:p w:rsidR="00F87FF3" w:rsidRDefault="00B75A50">
      <w:pPr>
        <w:tabs>
          <w:tab w:val="left" w:pos="0"/>
        </w:tabs>
      </w:pPr>
      <w:r>
        <w:t>Training faculty and staff on recognizing and mitigati</w:t>
      </w:r>
      <w:r>
        <w:t>ng implicit bias in the hiring process is a central element within a faculty diversity program. Implicit biases are prevalent throughout the employee life cycle, including outreach efforts, job announcements, application materials, selection for interview,</w:t>
      </w:r>
      <w:r>
        <w:t xml:space="preserve"> interviewing processes, final selection, job offer, and onboarding and retention of new employees. Negative implicit biases can subtly interfere with the growth of a racially diverse and representative workforce.</w:t>
      </w:r>
    </w:p>
    <w:p w:rsidR="00F87FF3" w:rsidRDefault="00F87FF3">
      <w:pPr>
        <w:tabs>
          <w:tab w:val="left" w:pos="0"/>
        </w:tabs>
      </w:pPr>
    </w:p>
    <w:p w:rsidR="00F87FF3" w:rsidRDefault="00B75A50">
      <w:pPr>
        <w:tabs>
          <w:tab w:val="left" w:pos="0"/>
        </w:tabs>
      </w:pPr>
      <w:r>
        <w:t>Some points to consider in mitigating imp</w:t>
      </w:r>
      <w:r>
        <w:t>licit biases through training:</w:t>
      </w:r>
    </w:p>
    <w:p w:rsidR="00F87FF3" w:rsidRDefault="00B75A50">
      <w:pPr>
        <w:numPr>
          <w:ilvl w:val="0"/>
          <w:numId w:val="2"/>
        </w:numPr>
        <w:pBdr>
          <w:top w:val="nil"/>
          <w:left w:val="nil"/>
          <w:bottom w:val="nil"/>
          <w:right w:val="nil"/>
          <w:between w:val="nil"/>
        </w:pBdr>
        <w:tabs>
          <w:tab w:val="left" w:pos="0"/>
        </w:tabs>
        <w:spacing w:line="276" w:lineRule="auto"/>
        <w:rPr>
          <w:color w:val="000000"/>
        </w:rPr>
      </w:pPr>
      <w:r>
        <w:rPr>
          <w:color w:val="000000"/>
        </w:rPr>
        <w:t xml:space="preserve">Establish a prioritization strategy for training implementation </w:t>
      </w:r>
    </w:p>
    <w:p w:rsidR="00F87FF3" w:rsidRDefault="00B75A50">
      <w:pPr>
        <w:numPr>
          <w:ilvl w:val="1"/>
          <w:numId w:val="2"/>
        </w:numPr>
        <w:pBdr>
          <w:top w:val="nil"/>
          <w:left w:val="nil"/>
          <w:bottom w:val="nil"/>
          <w:right w:val="nil"/>
          <w:between w:val="nil"/>
        </w:pBdr>
        <w:tabs>
          <w:tab w:val="left" w:pos="0"/>
        </w:tabs>
        <w:spacing w:line="276" w:lineRule="auto"/>
        <w:rPr>
          <w:color w:val="000000"/>
        </w:rPr>
      </w:pPr>
      <w:r>
        <w:rPr>
          <w:color w:val="000000"/>
        </w:rPr>
        <w:t>Each college should train staff in the order that works for them and consider the impact individuals in different roles have on the hiring process. The list below is provided as an example:</w:t>
      </w:r>
    </w:p>
    <w:p w:rsidR="00F87FF3" w:rsidRDefault="00B75A50">
      <w:pPr>
        <w:numPr>
          <w:ilvl w:val="2"/>
          <w:numId w:val="2"/>
        </w:numPr>
        <w:pBdr>
          <w:top w:val="nil"/>
          <w:left w:val="nil"/>
          <w:bottom w:val="nil"/>
          <w:right w:val="nil"/>
          <w:between w:val="nil"/>
        </w:pBdr>
        <w:tabs>
          <w:tab w:val="left" w:pos="0"/>
        </w:tabs>
        <w:spacing w:line="276" w:lineRule="auto"/>
        <w:rPr>
          <w:color w:val="000000"/>
        </w:rPr>
      </w:pPr>
      <w:r>
        <w:rPr>
          <w:color w:val="000000"/>
        </w:rPr>
        <w:t>Recruiters</w:t>
      </w:r>
    </w:p>
    <w:p w:rsidR="00F87FF3" w:rsidRDefault="00B75A50">
      <w:pPr>
        <w:numPr>
          <w:ilvl w:val="2"/>
          <w:numId w:val="2"/>
        </w:numPr>
        <w:pBdr>
          <w:top w:val="nil"/>
          <w:left w:val="nil"/>
          <w:bottom w:val="nil"/>
          <w:right w:val="nil"/>
          <w:between w:val="nil"/>
        </w:pBdr>
        <w:tabs>
          <w:tab w:val="left" w:pos="0"/>
        </w:tabs>
        <w:spacing w:line="276" w:lineRule="auto"/>
        <w:rPr>
          <w:color w:val="000000"/>
        </w:rPr>
      </w:pPr>
      <w:r>
        <w:rPr>
          <w:color w:val="000000"/>
        </w:rPr>
        <w:t>Hiring supervisors/managers</w:t>
      </w:r>
    </w:p>
    <w:p w:rsidR="00F87FF3" w:rsidRDefault="00B75A50">
      <w:pPr>
        <w:numPr>
          <w:ilvl w:val="2"/>
          <w:numId w:val="2"/>
        </w:numPr>
        <w:pBdr>
          <w:top w:val="nil"/>
          <w:left w:val="nil"/>
          <w:bottom w:val="nil"/>
          <w:right w:val="nil"/>
          <w:between w:val="nil"/>
        </w:pBdr>
        <w:tabs>
          <w:tab w:val="left" w:pos="0"/>
        </w:tabs>
        <w:spacing w:line="276" w:lineRule="auto"/>
        <w:rPr>
          <w:color w:val="000000"/>
        </w:rPr>
      </w:pPr>
      <w:r>
        <w:rPr>
          <w:color w:val="000000"/>
        </w:rPr>
        <w:t>Executive leadership, espec</w:t>
      </w:r>
      <w:r>
        <w:rPr>
          <w:color w:val="000000"/>
        </w:rPr>
        <w:t>ially appointing authorities</w:t>
      </w:r>
    </w:p>
    <w:p w:rsidR="00F87FF3" w:rsidRDefault="00B75A50">
      <w:pPr>
        <w:numPr>
          <w:ilvl w:val="2"/>
          <w:numId w:val="2"/>
        </w:numPr>
        <w:pBdr>
          <w:top w:val="nil"/>
          <w:left w:val="nil"/>
          <w:bottom w:val="nil"/>
          <w:right w:val="nil"/>
          <w:between w:val="nil"/>
        </w:pBdr>
        <w:tabs>
          <w:tab w:val="left" w:pos="0"/>
        </w:tabs>
        <w:spacing w:line="276" w:lineRule="auto"/>
        <w:rPr>
          <w:color w:val="000000"/>
        </w:rPr>
      </w:pPr>
      <w:r>
        <w:rPr>
          <w:color w:val="000000"/>
        </w:rPr>
        <w:t>Diversity and equity officers</w:t>
      </w:r>
    </w:p>
    <w:p w:rsidR="00F87FF3" w:rsidRDefault="00B75A50">
      <w:pPr>
        <w:numPr>
          <w:ilvl w:val="2"/>
          <w:numId w:val="2"/>
        </w:numPr>
        <w:pBdr>
          <w:top w:val="nil"/>
          <w:left w:val="nil"/>
          <w:bottom w:val="nil"/>
          <w:right w:val="nil"/>
          <w:between w:val="nil"/>
        </w:pBdr>
        <w:tabs>
          <w:tab w:val="left" w:pos="0"/>
        </w:tabs>
        <w:spacing w:line="276" w:lineRule="auto"/>
        <w:rPr>
          <w:color w:val="000000"/>
        </w:rPr>
      </w:pPr>
      <w:r>
        <w:rPr>
          <w:color w:val="000000"/>
        </w:rPr>
        <w:t>Designees, i.e. subject matter experts, external panel members, students, etc.</w:t>
      </w:r>
    </w:p>
    <w:p w:rsidR="00F87FF3" w:rsidRDefault="00B75A50">
      <w:pPr>
        <w:numPr>
          <w:ilvl w:val="0"/>
          <w:numId w:val="2"/>
        </w:numPr>
        <w:pBdr>
          <w:top w:val="nil"/>
          <w:left w:val="nil"/>
          <w:bottom w:val="nil"/>
          <w:right w:val="nil"/>
          <w:between w:val="nil"/>
        </w:pBdr>
        <w:tabs>
          <w:tab w:val="left" w:pos="0"/>
        </w:tabs>
        <w:spacing w:line="276" w:lineRule="auto"/>
        <w:rPr>
          <w:color w:val="000000"/>
        </w:rPr>
      </w:pPr>
      <w:r>
        <w:rPr>
          <w:color w:val="000000"/>
        </w:rPr>
        <w:t>Research training materials that incorporate a developmental framework and quality DEI content.</w:t>
      </w:r>
    </w:p>
    <w:p w:rsidR="00F87FF3" w:rsidRDefault="00B75A50">
      <w:pPr>
        <w:numPr>
          <w:ilvl w:val="0"/>
          <w:numId w:val="2"/>
        </w:numPr>
        <w:pBdr>
          <w:top w:val="nil"/>
          <w:left w:val="nil"/>
          <w:bottom w:val="nil"/>
          <w:right w:val="nil"/>
          <w:between w:val="nil"/>
        </w:pBdr>
        <w:tabs>
          <w:tab w:val="left" w:pos="0"/>
        </w:tabs>
        <w:spacing w:line="276" w:lineRule="auto"/>
        <w:rPr>
          <w:color w:val="000000"/>
        </w:rPr>
      </w:pPr>
      <w:r>
        <w:rPr>
          <w:color w:val="000000"/>
        </w:rPr>
        <w:t>Establish a timeline t</w:t>
      </w:r>
      <w:r>
        <w:rPr>
          <w:color w:val="000000"/>
        </w:rPr>
        <w:t>o achieve 100% training completion.</w:t>
      </w:r>
    </w:p>
    <w:p w:rsidR="00F87FF3" w:rsidRDefault="00B75A50">
      <w:pPr>
        <w:numPr>
          <w:ilvl w:val="0"/>
          <w:numId w:val="2"/>
        </w:numPr>
        <w:pBdr>
          <w:top w:val="nil"/>
          <w:left w:val="nil"/>
          <w:bottom w:val="nil"/>
          <w:right w:val="nil"/>
          <w:between w:val="nil"/>
        </w:pBdr>
        <w:tabs>
          <w:tab w:val="left" w:pos="0"/>
        </w:tabs>
        <w:spacing w:line="276" w:lineRule="auto"/>
        <w:rPr>
          <w:color w:val="000000"/>
        </w:rPr>
      </w:pPr>
      <w:r>
        <w:rPr>
          <w:color w:val="000000"/>
        </w:rPr>
        <w:t>Create a training frequency that works for your college and incorporates ongoing learning.</w:t>
      </w:r>
    </w:p>
    <w:p w:rsidR="00F87FF3" w:rsidRDefault="00F87FF3">
      <w:pPr>
        <w:tabs>
          <w:tab w:val="left" w:pos="0"/>
        </w:tabs>
      </w:pPr>
    </w:p>
    <w:p w:rsidR="00F87FF3" w:rsidRDefault="00B75A50">
      <w:pPr>
        <w:pStyle w:val="Heading4"/>
        <w:numPr>
          <w:ilvl w:val="1"/>
          <w:numId w:val="5"/>
        </w:numPr>
        <w:tabs>
          <w:tab w:val="left" w:pos="0"/>
        </w:tabs>
        <w:spacing w:before="0"/>
        <w:ind w:left="0" w:firstLine="0"/>
        <w:rPr>
          <w:color w:val="000000"/>
        </w:rPr>
      </w:pPr>
      <w:bookmarkStart w:id="15" w:name="_35nkun2" w:colFirst="0" w:colLast="0"/>
      <w:bookmarkEnd w:id="15"/>
      <w:r>
        <w:rPr>
          <w:color w:val="000000"/>
        </w:rPr>
        <w:t xml:space="preserve">Diversity Data Reviews </w:t>
      </w:r>
    </w:p>
    <w:p w:rsidR="00F87FF3" w:rsidRDefault="00B75A50">
      <w:pPr>
        <w:tabs>
          <w:tab w:val="left" w:pos="0"/>
        </w:tabs>
        <w:spacing w:line="259" w:lineRule="auto"/>
      </w:pPr>
      <w:r>
        <w:t>Reviewing college demographic/diversity data across the entire employee life cycle is an essential practice in developing a faculty diversity program.</w:t>
      </w:r>
    </w:p>
    <w:p w:rsidR="00F87FF3" w:rsidRDefault="00F87FF3">
      <w:pPr>
        <w:tabs>
          <w:tab w:val="left" w:pos="0"/>
        </w:tabs>
        <w:spacing w:line="259" w:lineRule="auto"/>
      </w:pPr>
    </w:p>
    <w:p w:rsidR="00F87FF3" w:rsidRDefault="00B75A50">
      <w:pPr>
        <w:tabs>
          <w:tab w:val="left" w:pos="0"/>
        </w:tabs>
        <w:spacing w:line="259" w:lineRule="auto"/>
      </w:pPr>
      <w:r>
        <w:t>See below for a list of possible areas and questions to consider in a demographic/diversity data review:</w:t>
      </w:r>
    </w:p>
    <w:p w:rsidR="00F87FF3" w:rsidRDefault="00B75A50">
      <w:pPr>
        <w:numPr>
          <w:ilvl w:val="0"/>
          <w:numId w:val="3"/>
        </w:numPr>
        <w:pBdr>
          <w:top w:val="nil"/>
          <w:left w:val="nil"/>
          <w:bottom w:val="nil"/>
          <w:right w:val="nil"/>
          <w:between w:val="nil"/>
        </w:pBdr>
        <w:tabs>
          <w:tab w:val="left" w:pos="0"/>
        </w:tabs>
        <w:spacing w:line="276" w:lineRule="auto"/>
        <w:rPr>
          <w:color w:val="000000"/>
        </w:rPr>
      </w:pPr>
      <w:r>
        <w:rPr>
          <w:color w:val="000000"/>
        </w:rPr>
        <w:t>Hiring processes</w:t>
      </w:r>
    </w:p>
    <w:p w:rsidR="00F87FF3" w:rsidRDefault="00B75A50">
      <w:pPr>
        <w:numPr>
          <w:ilvl w:val="1"/>
          <w:numId w:val="3"/>
        </w:numPr>
        <w:pBdr>
          <w:top w:val="nil"/>
          <w:left w:val="nil"/>
          <w:bottom w:val="nil"/>
          <w:right w:val="nil"/>
          <w:between w:val="nil"/>
        </w:pBdr>
        <w:tabs>
          <w:tab w:val="left" w:pos="0"/>
        </w:tabs>
        <w:spacing w:line="276" w:lineRule="auto"/>
        <w:rPr>
          <w:color w:val="000000"/>
        </w:rPr>
      </w:pPr>
      <w:r>
        <w:rPr>
          <w:color w:val="000000"/>
        </w:rPr>
        <w:t>Are job postings written in a way that discourages certain groups of people from applying or believing they could be successful?</w:t>
      </w:r>
    </w:p>
    <w:p w:rsidR="00F87FF3" w:rsidRDefault="00B75A50">
      <w:pPr>
        <w:numPr>
          <w:ilvl w:val="1"/>
          <w:numId w:val="3"/>
        </w:numPr>
        <w:pBdr>
          <w:top w:val="nil"/>
          <w:left w:val="nil"/>
          <w:bottom w:val="nil"/>
          <w:right w:val="nil"/>
          <w:between w:val="nil"/>
        </w:pBdr>
        <w:tabs>
          <w:tab w:val="left" w:pos="0"/>
        </w:tabs>
        <w:spacing w:line="276" w:lineRule="auto"/>
        <w:rPr>
          <w:color w:val="000000"/>
        </w:rPr>
      </w:pPr>
      <w:r>
        <w:rPr>
          <w:color w:val="000000"/>
        </w:rPr>
        <w:t>Are job qualifications truly necessary to be successful in the position?</w:t>
      </w:r>
    </w:p>
    <w:p w:rsidR="00F87FF3" w:rsidRDefault="00B75A50">
      <w:pPr>
        <w:numPr>
          <w:ilvl w:val="1"/>
          <w:numId w:val="3"/>
        </w:numPr>
        <w:pBdr>
          <w:top w:val="nil"/>
          <w:left w:val="nil"/>
          <w:bottom w:val="nil"/>
          <w:right w:val="nil"/>
          <w:between w:val="nil"/>
        </w:pBdr>
        <w:tabs>
          <w:tab w:val="left" w:pos="0"/>
        </w:tabs>
        <w:spacing w:line="276" w:lineRule="auto"/>
        <w:rPr>
          <w:color w:val="000000"/>
        </w:rPr>
      </w:pPr>
      <w:r>
        <w:rPr>
          <w:color w:val="000000"/>
        </w:rPr>
        <w:t>Are the candidate pools as diverse a</w:t>
      </w:r>
      <w:r>
        <w:rPr>
          <w:color w:val="000000"/>
        </w:rPr>
        <w:t>s the student population?</w:t>
      </w:r>
    </w:p>
    <w:p w:rsidR="00F87FF3" w:rsidRDefault="00B75A50">
      <w:pPr>
        <w:numPr>
          <w:ilvl w:val="1"/>
          <w:numId w:val="3"/>
        </w:numPr>
        <w:pBdr>
          <w:top w:val="nil"/>
          <w:left w:val="nil"/>
          <w:bottom w:val="nil"/>
          <w:right w:val="nil"/>
          <w:between w:val="nil"/>
        </w:pBdr>
        <w:tabs>
          <w:tab w:val="left" w:pos="0"/>
        </w:tabs>
        <w:spacing w:line="276" w:lineRule="auto"/>
        <w:rPr>
          <w:color w:val="000000"/>
        </w:rPr>
      </w:pPr>
      <w:r>
        <w:rPr>
          <w:color w:val="000000"/>
        </w:rPr>
        <w:t xml:space="preserve">What happens if there is insufficient diversity in the candidate pool at any stage or if a search has to be re-opened for some other reason? </w:t>
      </w:r>
    </w:p>
    <w:p w:rsidR="00F87FF3" w:rsidRDefault="00B75A50">
      <w:pPr>
        <w:numPr>
          <w:ilvl w:val="0"/>
          <w:numId w:val="3"/>
        </w:numPr>
        <w:pBdr>
          <w:top w:val="nil"/>
          <w:left w:val="nil"/>
          <w:bottom w:val="nil"/>
          <w:right w:val="nil"/>
          <w:between w:val="nil"/>
        </w:pBdr>
        <w:tabs>
          <w:tab w:val="left" w:pos="0"/>
        </w:tabs>
        <w:spacing w:line="276" w:lineRule="auto"/>
        <w:rPr>
          <w:color w:val="000000"/>
        </w:rPr>
      </w:pPr>
      <w:r>
        <w:rPr>
          <w:color w:val="000000"/>
        </w:rPr>
        <w:t>Applicants, interviewees, and new hires by race, ethnicity, gender, etc.</w:t>
      </w:r>
    </w:p>
    <w:p w:rsidR="00F87FF3" w:rsidRDefault="00B75A50">
      <w:pPr>
        <w:numPr>
          <w:ilvl w:val="1"/>
          <w:numId w:val="3"/>
        </w:numPr>
        <w:pBdr>
          <w:top w:val="nil"/>
          <w:left w:val="nil"/>
          <w:bottom w:val="nil"/>
          <w:right w:val="nil"/>
          <w:between w:val="nil"/>
        </w:pBdr>
        <w:tabs>
          <w:tab w:val="left" w:pos="0"/>
        </w:tabs>
        <w:spacing w:line="276" w:lineRule="auto"/>
        <w:rPr>
          <w:color w:val="000000"/>
        </w:rPr>
      </w:pPr>
      <w:r>
        <w:rPr>
          <w:color w:val="000000"/>
        </w:rPr>
        <w:lastRenderedPageBreak/>
        <w:t>Are there steps or parts of the hiring process where candidates from certain groups are being screened out?</w:t>
      </w:r>
    </w:p>
    <w:p w:rsidR="00F87FF3" w:rsidRDefault="00B75A50">
      <w:pPr>
        <w:numPr>
          <w:ilvl w:val="1"/>
          <w:numId w:val="3"/>
        </w:numPr>
        <w:pBdr>
          <w:top w:val="nil"/>
          <w:left w:val="nil"/>
          <w:bottom w:val="nil"/>
          <w:right w:val="nil"/>
          <w:between w:val="nil"/>
        </w:pBdr>
        <w:tabs>
          <w:tab w:val="left" w:pos="0"/>
        </w:tabs>
        <w:spacing w:line="276" w:lineRule="auto"/>
        <w:rPr>
          <w:color w:val="000000"/>
        </w:rPr>
      </w:pPr>
      <w:r>
        <w:rPr>
          <w:color w:val="000000"/>
        </w:rPr>
        <w:t>Are demographics collected on applicant pools, semi-finalists, finalists, those hired, those promoted or appointed internally, and committee composition?</w:t>
      </w:r>
    </w:p>
    <w:p w:rsidR="00F87FF3" w:rsidRDefault="00B75A50">
      <w:pPr>
        <w:numPr>
          <w:ilvl w:val="0"/>
          <w:numId w:val="3"/>
        </w:numPr>
        <w:pBdr>
          <w:top w:val="nil"/>
          <w:left w:val="nil"/>
          <w:bottom w:val="nil"/>
          <w:right w:val="nil"/>
          <w:between w:val="nil"/>
        </w:pBdr>
        <w:tabs>
          <w:tab w:val="left" w:pos="0"/>
        </w:tabs>
        <w:spacing w:line="276" w:lineRule="auto"/>
        <w:rPr>
          <w:color w:val="000000"/>
        </w:rPr>
      </w:pPr>
      <w:r>
        <w:rPr>
          <w:color w:val="000000"/>
        </w:rPr>
        <w:t>Promotions/turnovers by race, ethnicity, gender, etc.</w:t>
      </w:r>
    </w:p>
    <w:p w:rsidR="00F87FF3" w:rsidRDefault="00B75A50">
      <w:pPr>
        <w:numPr>
          <w:ilvl w:val="1"/>
          <w:numId w:val="3"/>
        </w:numPr>
        <w:pBdr>
          <w:top w:val="nil"/>
          <w:left w:val="nil"/>
          <w:bottom w:val="nil"/>
          <w:right w:val="nil"/>
          <w:between w:val="nil"/>
        </w:pBdr>
        <w:tabs>
          <w:tab w:val="left" w:pos="0"/>
        </w:tabs>
        <w:spacing w:line="276" w:lineRule="auto"/>
        <w:rPr>
          <w:color w:val="000000"/>
        </w:rPr>
      </w:pPr>
      <w:r>
        <w:rPr>
          <w:color w:val="000000"/>
        </w:rPr>
        <w:t>Are there disparities in promotion and/or turnov</w:t>
      </w:r>
      <w:r>
        <w:rPr>
          <w:color w:val="000000"/>
        </w:rPr>
        <w:t>er?</w:t>
      </w:r>
    </w:p>
    <w:p w:rsidR="00F87FF3" w:rsidRDefault="00B75A50">
      <w:pPr>
        <w:numPr>
          <w:ilvl w:val="1"/>
          <w:numId w:val="3"/>
        </w:numPr>
        <w:pBdr>
          <w:top w:val="nil"/>
          <w:left w:val="nil"/>
          <w:bottom w:val="nil"/>
          <w:right w:val="nil"/>
          <w:between w:val="nil"/>
        </w:pBdr>
        <w:tabs>
          <w:tab w:val="left" w:pos="0"/>
        </w:tabs>
        <w:spacing w:line="276" w:lineRule="auto"/>
        <w:rPr>
          <w:color w:val="000000"/>
        </w:rPr>
      </w:pPr>
      <w:r>
        <w:rPr>
          <w:color w:val="000000"/>
        </w:rPr>
        <w:t xml:space="preserve">In which departments or areas are promotional opportunities concentrated? </w:t>
      </w:r>
    </w:p>
    <w:p w:rsidR="00F87FF3" w:rsidRDefault="00B75A50">
      <w:pPr>
        <w:numPr>
          <w:ilvl w:val="1"/>
          <w:numId w:val="3"/>
        </w:numPr>
        <w:pBdr>
          <w:top w:val="nil"/>
          <w:left w:val="nil"/>
          <w:bottom w:val="nil"/>
          <w:right w:val="nil"/>
          <w:between w:val="nil"/>
        </w:pBdr>
        <w:tabs>
          <w:tab w:val="left" w:pos="0"/>
        </w:tabs>
        <w:spacing w:line="276" w:lineRule="auto"/>
        <w:rPr>
          <w:color w:val="000000"/>
        </w:rPr>
      </w:pPr>
      <w:r>
        <w:rPr>
          <w:color w:val="000000"/>
        </w:rPr>
        <w:t xml:space="preserve">What opportunities for leadership development are provided? To whom? </w:t>
      </w:r>
    </w:p>
    <w:p w:rsidR="00F87FF3" w:rsidRDefault="00B75A50">
      <w:pPr>
        <w:numPr>
          <w:ilvl w:val="1"/>
          <w:numId w:val="3"/>
        </w:numPr>
        <w:pBdr>
          <w:top w:val="nil"/>
          <w:left w:val="nil"/>
          <w:bottom w:val="nil"/>
          <w:right w:val="nil"/>
          <w:between w:val="nil"/>
        </w:pBdr>
        <w:tabs>
          <w:tab w:val="left" w:pos="0"/>
        </w:tabs>
        <w:spacing w:line="276" w:lineRule="auto"/>
        <w:rPr>
          <w:color w:val="000000"/>
        </w:rPr>
      </w:pPr>
      <w:r>
        <w:rPr>
          <w:color w:val="000000"/>
        </w:rPr>
        <w:t>How does the institution bring awareness of and work to counter the ways in which privilege and power are m</w:t>
      </w:r>
      <w:r>
        <w:rPr>
          <w:color w:val="000000"/>
        </w:rPr>
        <w:t>aintained and dominant culture reproduced through promotions?</w:t>
      </w:r>
    </w:p>
    <w:p w:rsidR="00F87FF3" w:rsidRDefault="00B75A50">
      <w:pPr>
        <w:pStyle w:val="Heading3"/>
        <w:spacing w:before="120" w:after="0"/>
      </w:pPr>
      <w:bookmarkStart w:id="16" w:name="_1ksv4uv" w:colFirst="0" w:colLast="0"/>
      <w:bookmarkEnd w:id="16"/>
      <w:r>
        <w:t>Conclusion</w:t>
      </w:r>
    </w:p>
    <w:p w:rsidR="00F87FF3" w:rsidRDefault="00B75A50">
      <w:r>
        <w:t>Research strongly suggests that having diverse faculty that are representative of the students they serve helps to foster a sense of belonging and supports an inclusive campus culture</w:t>
      </w:r>
      <w:r>
        <w:t>. The recruitment, retention, and development of faculty of color and other minoritized groups is a crucial strategy for building anti-racist learning environments, especially since students of color thrive when they can see themselves reflected in the col</w:t>
      </w:r>
      <w:r>
        <w:t>lege culture. It is important, then, that a racially diverse and culturally responsive faculty workforce is a key priority for supporting the success of our students.</w:t>
      </w:r>
    </w:p>
    <w:p w:rsidR="00F87FF3" w:rsidRDefault="00F87FF3">
      <w:pPr>
        <w:rPr>
          <w:color w:val="404041"/>
          <w:highlight w:val="white"/>
        </w:rPr>
      </w:pPr>
    </w:p>
    <w:p w:rsidR="00F87FF3" w:rsidRDefault="00B75A50">
      <w:pPr>
        <w:rPr>
          <w:color w:val="404041"/>
          <w:highlight w:val="white"/>
        </w:rPr>
      </w:pPr>
      <w:r>
        <w:rPr>
          <w:color w:val="404041"/>
          <w:highlight w:val="white"/>
        </w:rPr>
        <w:t xml:space="preserve">The Washington State Board for Community and Technical Colleges endeavors to uphold its </w:t>
      </w:r>
      <w:r>
        <w:rPr>
          <w:color w:val="404041"/>
          <w:highlight w:val="white"/>
        </w:rPr>
        <w:t>bold vision for leading with racial equity by working to dismantle racist policies and practices throughout the community and technical college system, and ensuring our students of color and other minoritized students reap the benefits that come with highe</w:t>
      </w:r>
      <w:r>
        <w:rPr>
          <w:color w:val="404041"/>
          <w:highlight w:val="white"/>
        </w:rPr>
        <w:t>r education: higher incomes, better health, and greater social and economic mobility that passes from generation-to-generation. </w:t>
      </w:r>
    </w:p>
    <w:p w:rsidR="00F87FF3" w:rsidRDefault="00F87FF3">
      <w:pPr>
        <w:rPr>
          <w:color w:val="404041"/>
          <w:highlight w:val="white"/>
        </w:rPr>
      </w:pPr>
    </w:p>
    <w:p w:rsidR="00F87FF3" w:rsidRDefault="00B75A50">
      <w:r>
        <w:rPr>
          <w:color w:val="404041"/>
          <w:highlight w:val="white"/>
        </w:rPr>
        <w:t>In order to uphold this commitment, colleges are encouraged to commit to practices that promote equity, diversity, and inclusi</w:t>
      </w:r>
      <w:r>
        <w:rPr>
          <w:color w:val="404041"/>
          <w:highlight w:val="white"/>
        </w:rPr>
        <w:t>on throughout all aspects of the recruitment, hiring, and retention of faculty of color and other minoritized faculty groups.</w:t>
      </w:r>
    </w:p>
    <w:p w:rsidR="00F87FF3" w:rsidRDefault="00F87FF3">
      <w:pPr>
        <w:spacing w:before="3480"/>
        <w:rPr>
          <w:rFonts w:ascii="Libre Franklin Medium" w:eastAsia="Libre Franklin Medium" w:hAnsi="Libre Franklin Medium" w:cs="Libre Franklin Medium"/>
          <w:color w:val="0070C0"/>
          <w:sz w:val="36"/>
          <w:szCs w:val="36"/>
        </w:rPr>
      </w:pPr>
    </w:p>
    <w:p w:rsidR="00F87FF3" w:rsidRDefault="00B75A50">
      <w:pPr>
        <w:pStyle w:val="Heading3"/>
        <w:spacing w:before="0" w:after="0"/>
      </w:pPr>
      <w:bookmarkStart w:id="17" w:name="_44sinio" w:colFirst="0" w:colLast="0"/>
      <w:bookmarkEnd w:id="17"/>
      <w:r>
        <w:lastRenderedPageBreak/>
        <w:t>Appendix</w:t>
      </w:r>
    </w:p>
    <w:p w:rsidR="00F87FF3" w:rsidRDefault="00B75A50">
      <w:pPr>
        <w:numPr>
          <w:ilvl w:val="0"/>
          <w:numId w:val="6"/>
        </w:numPr>
        <w:pBdr>
          <w:top w:val="nil"/>
          <w:left w:val="nil"/>
          <w:bottom w:val="nil"/>
          <w:right w:val="nil"/>
          <w:between w:val="nil"/>
        </w:pBdr>
        <w:rPr>
          <w:color w:val="0B5394"/>
        </w:rPr>
      </w:pPr>
      <w:hyperlink r:id="rId11">
        <w:r>
          <w:rPr>
            <w:color w:val="0B5394"/>
            <w:u w:val="single"/>
          </w:rPr>
          <w:t>Multicultural Competency Interviewing Rubric</w:t>
        </w:r>
      </w:hyperlink>
      <w:r>
        <w:rPr>
          <w:color w:val="0B5394"/>
        </w:rPr>
        <w:t xml:space="preserve"> </w:t>
      </w:r>
    </w:p>
    <w:p w:rsidR="00F87FF3" w:rsidRDefault="00B75A50">
      <w:pPr>
        <w:numPr>
          <w:ilvl w:val="0"/>
          <w:numId w:val="6"/>
        </w:numPr>
        <w:pBdr>
          <w:top w:val="nil"/>
          <w:left w:val="nil"/>
          <w:bottom w:val="nil"/>
          <w:right w:val="nil"/>
          <w:between w:val="nil"/>
        </w:pBdr>
        <w:rPr>
          <w:color w:val="0B5394"/>
        </w:rPr>
      </w:pPr>
      <w:hyperlink r:id="rId12">
        <w:r>
          <w:rPr>
            <w:color w:val="0B5394"/>
            <w:u w:val="single"/>
          </w:rPr>
          <w:t>Multicultural Organization Development</w:t>
        </w:r>
      </w:hyperlink>
    </w:p>
    <w:p w:rsidR="00F87FF3" w:rsidRDefault="00B75A50">
      <w:pPr>
        <w:numPr>
          <w:ilvl w:val="0"/>
          <w:numId w:val="6"/>
        </w:numPr>
        <w:pBdr>
          <w:top w:val="nil"/>
          <w:left w:val="nil"/>
          <w:bottom w:val="nil"/>
          <w:right w:val="nil"/>
          <w:between w:val="nil"/>
        </w:pBdr>
        <w:rPr>
          <w:color w:val="0B5394"/>
        </w:rPr>
      </w:pPr>
      <w:hyperlink r:id="rId13">
        <w:r>
          <w:rPr>
            <w:color w:val="0B5394"/>
            <w:u w:val="single"/>
          </w:rPr>
          <w:t>17 Steps in the Hiring Process</w:t>
        </w:r>
      </w:hyperlink>
      <w:r>
        <w:rPr>
          <w:color w:val="0B5394"/>
        </w:rPr>
        <w:t xml:space="preserve"> </w:t>
      </w:r>
    </w:p>
    <w:p w:rsidR="00F87FF3" w:rsidRDefault="00B75A50">
      <w:pPr>
        <w:numPr>
          <w:ilvl w:val="0"/>
          <w:numId w:val="6"/>
        </w:numPr>
        <w:pBdr>
          <w:top w:val="nil"/>
          <w:left w:val="nil"/>
          <w:bottom w:val="nil"/>
          <w:right w:val="nil"/>
          <w:between w:val="nil"/>
        </w:pBdr>
        <w:rPr>
          <w:color w:val="0B5394"/>
        </w:rPr>
      </w:pPr>
      <w:hyperlink r:id="rId14">
        <w:r>
          <w:rPr>
            <w:color w:val="0B5394"/>
            <w:u w:val="single"/>
          </w:rPr>
          <w:t>Oregon State University Search Advocacy program</w:t>
        </w:r>
      </w:hyperlink>
      <w:r>
        <w:rPr>
          <w:color w:val="0B5394"/>
        </w:rPr>
        <w:t xml:space="preserve"> </w:t>
      </w:r>
    </w:p>
    <w:p w:rsidR="00F87FF3" w:rsidRDefault="00B75A50">
      <w:pPr>
        <w:numPr>
          <w:ilvl w:val="0"/>
          <w:numId w:val="6"/>
        </w:numPr>
        <w:pBdr>
          <w:top w:val="nil"/>
          <w:left w:val="nil"/>
          <w:bottom w:val="nil"/>
          <w:right w:val="nil"/>
          <w:between w:val="nil"/>
        </w:pBdr>
        <w:rPr>
          <w:color w:val="0B5394"/>
        </w:rPr>
      </w:pPr>
      <w:hyperlink r:id="rId15">
        <w:r>
          <w:rPr>
            <w:color w:val="0B5394"/>
            <w:u w:val="single"/>
          </w:rPr>
          <w:t>Unconscious Bias in Hiring</w:t>
        </w:r>
      </w:hyperlink>
      <w:r>
        <w:rPr>
          <w:color w:val="0B5394"/>
        </w:rPr>
        <w:t xml:space="preserve"> </w:t>
      </w:r>
    </w:p>
    <w:p w:rsidR="00F87FF3" w:rsidRDefault="00B75A50">
      <w:pPr>
        <w:numPr>
          <w:ilvl w:val="0"/>
          <w:numId w:val="6"/>
        </w:numPr>
        <w:pBdr>
          <w:top w:val="nil"/>
          <w:left w:val="nil"/>
          <w:bottom w:val="nil"/>
          <w:right w:val="nil"/>
          <w:between w:val="nil"/>
        </w:pBdr>
        <w:rPr>
          <w:color w:val="0B5394"/>
        </w:rPr>
      </w:pPr>
      <w:hyperlink r:id="rId16">
        <w:r>
          <w:rPr>
            <w:color w:val="0B5394"/>
            <w:u w:val="single"/>
          </w:rPr>
          <w:t>Tips for Rooting Out Hidden Bias</w:t>
        </w:r>
      </w:hyperlink>
    </w:p>
    <w:p w:rsidR="00F87FF3" w:rsidRDefault="00B75A50">
      <w:pPr>
        <w:numPr>
          <w:ilvl w:val="0"/>
          <w:numId w:val="6"/>
        </w:numPr>
        <w:pBdr>
          <w:top w:val="nil"/>
          <w:left w:val="nil"/>
          <w:bottom w:val="nil"/>
          <w:right w:val="nil"/>
          <w:between w:val="nil"/>
        </w:pBdr>
        <w:rPr>
          <w:color w:val="0B5394"/>
        </w:rPr>
      </w:pPr>
      <w:hyperlink r:id="rId17">
        <w:r>
          <w:rPr>
            <w:color w:val="0B5394"/>
            <w:u w:val="single"/>
          </w:rPr>
          <w:t>Harvard's Implicit Bias Association Test</w:t>
        </w:r>
      </w:hyperlink>
      <w:r>
        <w:rPr>
          <w:color w:val="0B5394"/>
        </w:rPr>
        <w:t xml:space="preserve">  </w:t>
      </w:r>
    </w:p>
    <w:p w:rsidR="00F87FF3" w:rsidRDefault="00B75A50">
      <w:pPr>
        <w:numPr>
          <w:ilvl w:val="0"/>
          <w:numId w:val="6"/>
        </w:numPr>
        <w:pBdr>
          <w:top w:val="nil"/>
          <w:left w:val="nil"/>
          <w:bottom w:val="nil"/>
          <w:right w:val="nil"/>
          <w:between w:val="nil"/>
        </w:pBdr>
        <w:rPr>
          <w:color w:val="0B5394"/>
        </w:rPr>
      </w:pPr>
      <w:hyperlink r:id="rId18">
        <w:r>
          <w:rPr>
            <w:color w:val="0B5394"/>
            <w:u w:val="single"/>
          </w:rPr>
          <w:t>Workforce Diversity Directive - State HR Directive 20-02</w:t>
        </w:r>
      </w:hyperlink>
      <w:r>
        <w:rPr>
          <w:color w:val="0B5394"/>
        </w:rPr>
        <w:t xml:space="preserve"> </w:t>
      </w:r>
    </w:p>
    <w:p w:rsidR="00F87FF3" w:rsidRDefault="00B75A50">
      <w:pPr>
        <w:numPr>
          <w:ilvl w:val="0"/>
          <w:numId w:val="6"/>
        </w:numPr>
        <w:pBdr>
          <w:top w:val="nil"/>
          <w:left w:val="nil"/>
          <w:bottom w:val="nil"/>
          <w:right w:val="nil"/>
          <w:between w:val="nil"/>
        </w:pBdr>
        <w:rPr>
          <w:color w:val="0B5394"/>
        </w:rPr>
      </w:pPr>
      <w:hyperlink r:id="rId19">
        <w:r>
          <w:rPr>
            <w:color w:val="0B5394"/>
            <w:u w:val="single"/>
          </w:rPr>
          <w:t>Washington Law Against Discrimination</w:t>
        </w:r>
      </w:hyperlink>
      <w:r>
        <w:rPr>
          <w:color w:val="0B5394"/>
        </w:rPr>
        <w:t> </w:t>
      </w:r>
    </w:p>
    <w:p w:rsidR="00F87FF3" w:rsidRDefault="00B75A50">
      <w:pPr>
        <w:numPr>
          <w:ilvl w:val="0"/>
          <w:numId w:val="6"/>
        </w:numPr>
        <w:pBdr>
          <w:top w:val="nil"/>
          <w:left w:val="nil"/>
          <w:bottom w:val="nil"/>
          <w:right w:val="nil"/>
          <w:between w:val="nil"/>
        </w:pBdr>
        <w:rPr>
          <w:color w:val="0B5394"/>
        </w:rPr>
      </w:pPr>
      <w:hyperlink r:id="rId20">
        <w:r>
          <w:rPr>
            <w:color w:val="0B5394"/>
            <w:u w:val="single"/>
          </w:rPr>
          <w:t>Title VII of the Civil Rights Act</w:t>
        </w:r>
      </w:hyperlink>
      <w:r>
        <w:rPr>
          <w:color w:val="0B5394"/>
        </w:rPr>
        <w:t> </w:t>
      </w:r>
    </w:p>
    <w:p w:rsidR="00F87FF3" w:rsidRDefault="00B75A50">
      <w:pPr>
        <w:numPr>
          <w:ilvl w:val="0"/>
          <w:numId w:val="6"/>
        </w:numPr>
        <w:pBdr>
          <w:top w:val="nil"/>
          <w:left w:val="nil"/>
          <w:bottom w:val="nil"/>
          <w:right w:val="nil"/>
          <w:between w:val="nil"/>
        </w:pBdr>
        <w:rPr>
          <w:color w:val="0B5394"/>
        </w:rPr>
      </w:pPr>
      <w:hyperlink r:id="rId21">
        <w:r>
          <w:rPr>
            <w:color w:val="0B5394"/>
            <w:u w:val="single"/>
          </w:rPr>
          <w:t>Executive Order 12-02 on Workforce Diversity and Inclusion</w:t>
        </w:r>
      </w:hyperlink>
      <w:r>
        <w:rPr>
          <w:color w:val="0B5394"/>
        </w:rPr>
        <w:t> </w:t>
      </w:r>
    </w:p>
    <w:p w:rsidR="00F87FF3" w:rsidRDefault="00B75A50">
      <w:pPr>
        <w:numPr>
          <w:ilvl w:val="0"/>
          <w:numId w:val="6"/>
        </w:numPr>
        <w:pBdr>
          <w:top w:val="nil"/>
          <w:left w:val="nil"/>
          <w:bottom w:val="nil"/>
          <w:right w:val="nil"/>
          <w:between w:val="nil"/>
        </w:pBdr>
        <w:rPr>
          <w:color w:val="0B5394"/>
        </w:rPr>
      </w:pPr>
      <w:hyperlink r:id="rId22">
        <w:r>
          <w:rPr>
            <w:color w:val="0B5394"/>
            <w:u w:val="single"/>
          </w:rPr>
          <w:t xml:space="preserve">Executive Order 13-02 on Improving Employment Opportunities &amp; </w:t>
        </w:r>
        <w:r>
          <w:rPr>
            <w:color w:val="0B5394"/>
            <w:u w:val="single"/>
          </w:rPr>
          <w:t>Outcomes for People with   Disabilities in State Employment</w:t>
        </w:r>
      </w:hyperlink>
    </w:p>
    <w:p w:rsidR="00F87FF3" w:rsidRDefault="00B75A50">
      <w:pPr>
        <w:numPr>
          <w:ilvl w:val="0"/>
          <w:numId w:val="6"/>
        </w:numPr>
        <w:pBdr>
          <w:top w:val="nil"/>
          <w:left w:val="nil"/>
          <w:bottom w:val="nil"/>
          <w:right w:val="nil"/>
          <w:between w:val="nil"/>
        </w:pBdr>
        <w:rPr>
          <w:color w:val="0B5394"/>
        </w:rPr>
      </w:pPr>
      <w:hyperlink r:id="rId23">
        <w:r>
          <w:rPr>
            <w:color w:val="0B5394"/>
            <w:u w:val="single"/>
          </w:rPr>
          <w:t>Executive Order 19-01</w:t>
        </w:r>
      </w:hyperlink>
      <w:r>
        <w:rPr>
          <w:color w:val="0B5394"/>
          <w:u w:val="single"/>
        </w:rPr>
        <w:t xml:space="preserve"> on Veteran and Military Family Transition and Readiness Support </w:t>
      </w:r>
      <w:r>
        <w:rPr>
          <w:color w:val="0B5394"/>
        </w:rPr>
        <w:t> </w:t>
      </w:r>
    </w:p>
    <w:p w:rsidR="00F87FF3" w:rsidRDefault="00B75A50">
      <w:pPr>
        <w:numPr>
          <w:ilvl w:val="0"/>
          <w:numId w:val="6"/>
        </w:numPr>
        <w:pBdr>
          <w:top w:val="nil"/>
          <w:left w:val="nil"/>
          <w:bottom w:val="nil"/>
          <w:right w:val="nil"/>
          <w:between w:val="nil"/>
        </w:pBdr>
        <w:rPr>
          <w:color w:val="0B5394"/>
        </w:rPr>
      </w:pPr>
      <w:hyperlink r:id="rId24">
        <w:r>
          <w:rPr>
            <w:color w:val="0B5394"/>
            <w:u w:val="single"/>
          </w:rPr>
          <w:t>HRMS Da</w:t>
        </w:r>
        <w:r>
          <w:rPr>
            <w:color w:val="0B5394"/>
            <w:u w:val="single"/>
          </w:rPr>
          <w:t>ta Definitions Resource Guide</w:t>
        </w:r>
      </w:hyperlink>
      <w:r>
        <w:rPr>
          <w:color w:val="0B5394"/>
        </w:rPr>
        <w:t> </w:t>
      </w:r>
    </w:p>
    <w:p w:rsidR="00F87FF3" w:rsidRDefault="00B75A50">
      <w:pPr>
        <w:numPr>
          <w:ilvl w:val="0"/>
          <w:numId w:val="6"/>
        </w:numPr>
        <w:pBdr>
          <w:top w:val="nil"/>
          <w:left w:val="nil"/>
          <w:bottom w:val="nil"/>
          <w:right w:val="nil"/>
          <w:between w:val="nil"/>
        </w:pBdr>
        <w:rPr>
          <w:color w:val="0B5394"/>
        </w:rPr>
      </w:pPr>
      <w:hyperlink r:id="rId25">
        <w:r>
          <w:rPr>
            <w:color w:val="0B5394"/>
            <w:u w:val="single"/>
          </w:rPr>
          <w:t>Affirmative Action and Demographic Data Guide</w:t>
        </w:r>
      </w:hyperlink>
      <w:r>
        <w:rPr>
          <w:color w:val="0B5394"/>
        </w:rPr>
        <w:t> </w:t>
      </w:r>
    </w:p>
    <w:p w:rsidR="00F87FF3" w:rsidRDefault="00B75A50">
      <w:pPr>
        <w:numPr>
          <w:ilvl w:val="0"/>
          <w:numId w:val="6"/>
        </w:numPr>
        <w:pBdr>
          <w:top w:val="nil"/>
          <w:left w:val="nil"/>
          <w:bottom w:val="nil"/>
          <w:right w:val="nil"/>
          <w:between w:val="nil"/>
        </w:pBdr>
        <w:rPr>
          <w:color w:val="0B5394"/>
        </w:rPr>
      </w:pPr>
      <w:hyperlink r:id="rId26">
        <w:r>
          <w:rPr>
            <w:color w:val="0B5394"/>
            <w:u w:val="single"/>
          </w:rPr>
          <w:t>Human Resources Management Report</w:t>
        </w:r>
      </w:hyperlink>
      <w:r>
        <w:rPr>
          <w:color w:val="0B5394"/>
        </w:rPr>
        <w:t> </w:t>
      </w:r>
    </w:p>
    <w:p w:rsidR="00F87FF3" w:rsidRDefault="00B75A50">
      <w:pPr>
        <w:numPr>
          <w:ilvl w:val="0"/>
          <w:numId w:val="6"/>
        </w:numPr>
        <w:pBdr>
          <w:top w:val="nil"/>
          <w:left w:val="nil"/>
          <w:bottom w:val="nil"/>
          <w:right w:val="nil"/>
          <w:between w:val="nil"/>
        </w:pBdr>
        <w:rPr>
          <w:color w:val="0B5394"/>
        </w:rPr>
      </w:pPr>
      <w:hyperlink r:id="rId27">
        <w:r>
          <w:rPr>
            <w:color w:val="0B5394"/>
            <w:u w:val="single"/>
          </w:rPr>
          <w:t>RCW 41.06.530</w:t>
        </w:r>
      </w:hyperlink>
      <w:r>
        <w:rPr>
          <w:color w:val="0B5394"/>
        </w:rPr>
        <w:t xml:space="preserve"> - Personnel resource and management policy—Imp</w:t>
      </w:r>
      <w:r>
        <w:rPr>
          <w:color w:val="0B5394"/>
        </w:rPr>
        <w:t>lementation </w:t>
      </w:r>
    </w:p>
    <w:p w:rsidR="00F87FF3" w:rsidRDefault="00B75A50">
      <w:pPr>
        <w:numPr>
          <w:ilvl w:val="0"/>
          <w:numId w:val="6"/>
        </w:numPr>
        <w:pBdr>
          <w:top w:val="nil"/>
          <w:left w:val="nil"/>
          <w:bottom w:val="nil"/>
          <w:right w:val="nil"/>
          <w:between w:val="nil"/>
        </w:pBdr>
        <w:rPr>
          <w:color w:val="0B5394"/>
        </w:rPr>
      </w:pPr>
      <w:hyperlink r:id="rId28">
        <w:r>
          <w:rPr>
            <w:color w:val="0B5394"/>
            <w:u w:val="single"/>
          </w:rPr>
          <w:t>WAC 357-01-015</w:t>
        </w:r>
      </w:hyperlink>
      <w:r>
        <w:rPr>
          <w:color w:val="0B5394"/>
        </w:rPr>
        <w:t xml:space="preserve"> – Affirmative Action Plans </w:t>
      </w:r>
    </w:p>
    <w:p w:rsidR="00F87FF3" w:rsidRDefault="00B75A50">
      <w:pPr>
        <w:numPr>
          <w:ilvl w:val="0"/>
          <w:numId w:val="6"/>
        </w:numPr>
        <w:pBdr>
          <w:top w:val="nil"/>
          <w:left w:val="nil"/>
          <w:bottom w:val="nil"/>
          <w:right w:val="nil"/>
          <w:between w:val="nil"/>
        </w:pBdr>
        <w:rPr>
          <w:color w:val="0B5394"/>
        </w:rPr>
      </w:pPr>
      <w:hyperlink r:id="rId29">
        <w:r>
          <w:rPr>
            <w:color w:val="0B5394"/>
            <w:u w:val="single"/>
          </w:rPr>
          <w:t>Affirmative Action Laws and Rules Applicable in Washington</w:t>
        </w:r>
      </w:hyperlink>
      <w:r>
        <w:rPr>
          <w:color w:val="0B5394"/>
        </w:rPr>
        <w:t xml:space="preserve"> from OFM State HR</w:t>
      </w:r>
    </w:p>
    <w:p w:rsidR="00F87FF3" w:rsidRDefault="00B75A50">
      <w:pPr>
        <w:pStyle w:val="Heading3"/>
        <w:spacing w:before="1200" w:after="0"/>
      </w:pPr>
      <w:bookmarkStart w:id="18" w:name="_2jxsxqh" w:colFirst="0" w:colLast="0"/>
      <w:bookmarkEnd w:id="18"/>
      <w:r>
        <w:t>Contacts</w:t>
      </w:r>
    </w:p>
    <w:p w:rsidR="00F87FF3" w:rsidRDefault="00B75A50">
      <w:pPr>
        <w:pBdr>
          <w:top w:val="nil"/>
          <w:left w:val="nil"/>
          <w:bottom w:val="nil"/>
          <w:right w:val="nil"/>
          <w:between w:val="nil"/>
        </w:pBdr>
        <w:rPr>
          <w:color w:val="000000"/>
        </w:rPr>
      </w:pPr>
      <w:r>
        <w:rPr>
          <w:color w:val="000000"/>
        </w:rPr>
        <w:t xml:space="preserve">Ha Nguyen, Director of Equity, Diversity, and Inclusion, </w:t>
      </w:r>
      <w:hyperlink r:id="rId30">
        <w:r>
          <w:rPr>
            <w:color w:val="0563C1"/>
            <w:u w:val="single"/>
          </w:rPr>
          <w:t>hnguyen@sbctc.edu</w:t>
        </w:r>
      </w:hyperlink>
      <w:r>
        <w:rPr>
          <w:rFonts w:ascii="Libre Franklin Medium" w:eastAsia="Libre Franklin Medium" w:hAnsi="Libre Franklin Medium" w:cs="Libre Franklin Medium"/>
          <w:color w:val="0071CE"/>
          <w:sz w:val="36"/>
          <w:szCs w:val="36"/>
          <w:highlight w:val="white"/>
        </w:rPr>
        <w:t> </w:t>
      </w:r>
    </w:p>
    <w:p w:rsidR="00F87FF3" w:rsidRDefault="00B75A50">
      <w:pPr>
        <w:pBdr>
          <w:top w:val="nil"/>
          <w:left w:val="nil"/>
          <w:bottom w:val="nil"/>
          <w:right w:val="nil"/>
          <w:between w:val="nil"/>
        </w:pBdr>
        <w:rPr>
          <w:color w:val="000000"/>
        </w:rPr>
      </w:pPr>
      <w:r>
        <w:rPr>
          <w:color w:val="000000"/>
        </w:rPr>
        <w:t xml:space="preserve">Julie Huss, Director of Human Resources, </w:t>
      </w:r>
      <w:hyperlink r:id="rId31">
        <w:r>
          <w:rPr>
            <w:color w:val="0563C1"/>
            <w:u w:val="single"/>
          </w:rPr>
          <w:t>jhuss@sbctc.edu</w:t>
        </w:r>
      </w:hyperlink>
    </w:p>
    <w:p w:rsidR="00F87FF3" w:rsidRDefault="00B75A50">
      <w:pPr>
        <w:spacing w:after="40"/>
        <w:jc w:val="center"/>
      </w:pPr>
      <w:r>
        <w:rPr>
          <w:noProof/>
        </w:rPr>
        <w:lastRenderedPageBreak/>
        <w:drawing>
          <wp:inline distT="0" distB="0" distL="0" distR="0">
            <wp:extent cx="5623571" cy="4392177"/>
            <wp:effectExtent l="0" t="0" r="0" b="0"/>
            <wp:docPr id="3" name="image2.png" descr="Back Cover Triangle Pattern"/>
            <wp:cNvGraphicFramePr/>
            <a:graphic xmlns:a="http://schemas.openxmlformats.org/drawingml/2006/main">
              <a:graphicData uri="http://schemas.openxmlformats.org/drawingml/2006/picture">
                <pic:pic xmlns:pic="http://schemas.openxmlformats.org/drawingml/2006/picture">
                  <pic:nvPicPr>
                    <pic:cNvPr id="0" name="image2.png" descr="Back Cover Triangle Pattern"/>
                    <pic:cNvPicPr preferRelativeResize="0"/>
                  </pic:nvPicPr>
                  <pic:blipFill>
                    <a:blip r:embed="rId32"/>
                    <a:srcRect/>
                    <a:stretch>
                      <a:fillRect/>
                    </a:stretch>
                  </pic:blipFill>
                  <pic:spPr>
                    <a:xfrm>
                      <a:off x="0" y="0"/>
                      <a:ext cx="5623571" cy="4392177"/>
                    </a:xfrm>
                    <a:prstGeom prst="rect">
                      <a:avLst/>
                    </a:prstGeom>
                    <a:ln/>
                  </pic:spPr>
                </pic:pic>
              </a:graphicData>
            </a:graphic>
          </wp:inline>
        </w:drawing>
      </w:r>
    </w:p>
    <w:p w:rsidR="00F87FF3" w:rsidRDefault="00B75A50">
      <w:pPr>
        <w:spacing w:after="40"/>
        <w:jc w:val="center"/>
      </w:pPr>
      <w:r>
        <w:rPr>
          <w:noProof/>
          <w:color w:val="000000"/>
          <w:sz w:val="16"/>
          <w:szCs w:val="16"/>
        </w:rPr>
        <mc:AlternateContent>
          <mc:Choice Requires="wpg">
            <w:drawing>
              <wp:inline distT="0" distB="0" distL="0" distR="0">
                <wp:extent cx="525705" cy="230505"/>
                <wp:effectExtent l="0" t="0" r="0" b="0"/>
                <wp:docPr id="1" name="Group 1" descr="CC BY"/>
                <wp:cNvGraphicFramePr/>
                <a:graphic xmlns:a="http://schemas.openxmlformats.org/drawingml/2006/main">
                  <a:graphicData uri="http://schemas.microsoft.com/office/word/2010/wordprocessingGroup">
                    <wpg:wgp>
                      <wpg:cNvGrpSpPr/>
                      <wpg:grpSpPr>
                        <a:xfrm>
                          <a:off x="0" y="0"/>
                          <a:ext cx="525705" cy="230505"/>
                          <a:chOff x="5083148" y="3664748"/>
                          <a:chExt cx="525705" cy="230505"/>
                        </a:xfrm>
                      </wpg:grpSpPr>
                      <wpg:grpSp>
                        <wpg:cNvPr id="5" name="Group 5"/>
                        <wpg:cNvGrpSpPr/>
                        <wpg:grpSpPr>
                          <a:xfrm>
                            <a:off x="5083148" y="3664748"/>
                            <a:ext cx="525705" cy="230505"/>
                            <a:chOff x="5083148" y="3664748"/>
                            <a:chExt cx="525705" cy="230505"/>
                          </a:xfrm>
                        </wpg:grpSpPr>
                        <wps:wsp>
                          <wps:cNvPr id="6" name="Rectangle 6"/>
                          <wps:cNvSpPr/>
                          <wps:spPr>
                            <a:xfrm>
                              <a:off x="5083148" y="3664748"/>
                              <a:ext cx="525700" cy="230500"/>
                            </a:xfrm>
                            <a:prstGeom prst="rect">
                              <a:avLst/>
                            </a:prstGeom>
                            <a:noFill/>
                            <a:ln>
                              <a:noFill/>
                            </a:ln>
                          </wps:spPr>
                          <wps:txbx>
                            <w:txbxContent>
                              <w:p w:rsidR="00F87FF3" w:rsidRDefault="00F87FF3">
                                <w:pPr>
                                  <w:textDirection w:val="btLr"/>
                                </w:pPr>
                              </w:p>
                            </w:txbxContent>
                          </wps:txbx>
                          <wps:bodyPr spcFirstLastPara="1" wrap="square" lIns="91425" tIns="91425" rIns="91425" bIns="91425" anchor="ctr" anchorCtr="0">
                            <a:noAutofit/>
                          </wps:bodyPr>
                        </wps:wsp>
                        <wpg:grpSp>
                          <wpg:cNvPr id="7" name="Group 7"/>
                          <wpg:cNvGrpSpPr/>
                          <wpg:grpSpPr>
                            <a:xfrm>
                              <a:off x="5083148" y="3664748"/>
                              <a:ext cx="525705" cy="230505"/>
                              <a:chOff x="0" y="0"/>
                              <a:chExt cx="525705" cy="230505"/>
                            </a:xfrm>
                          </wpg:grpSpPr>
                          <wps:wsp>
                            <wps:cNvPr id="8" name="Rectangle 8"/>
                            <wps:cNvSpPr/>
                            <wps:spPr>
                              <a:xfrm>
                                <a:off x="0" y="0"/>
                                <a:ext cx="525700" cy="230500"/>
                              </a:xfrm>
                              <a:prstGeom prst="rect">
                                <a:avLst/>
                              </a:prstGeom>
                              <a:noFill/>
                              <a:ln>
                                <a:noFill/>
                              </a:ln>
                            </wps:spPr>
                            <wps:txbx>
                              <w:txbxContent>
                                <w:p w:rsidR="00F87FF3" w:rsidRDefault="00F87FF3">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6" descr="Creative Commons CC"/>
                              <pic:cNvPicPr preferRelativeResize="0"/>
                            </pic:nvPicPr>
                            <pic:blipFill rotWithShape="1">
                              <a:blip r:embed="rId33">
                                <a:alphaModFix/>
                              </a:blip>
                              <a:srcRect/>
                              <a:stretch/>
                            </pic:blipFill>
                            <pic:spPr>
                              <a:xfrm>
                                <a:off x="0" y="0"/>
                                <a:ext cx="230505" cy="230505"/>
                              </a:xfrm>
                              <a:prstGeom prst="rect">
                                <a:avLst/>
                              </a:prstGeom>
                              <a:noFill/>
                              <a:ln>
                                <a:noFill/>
                              </a:ln>
                            </pic:spPr>
                          </pic:pic>
                          <pic:pic xmlns:pic="http://schemas.openxmlformats.org/drawingml/2006/picture">
                            <pic:nvPicPr>
                              <pic:cNvPr id="10" name="Shape 7" descr="Creative Commons BY"/>
                              <pic:cNvPicPr preferRelativeResize="0"/>
                            </pic:nvPicPr>
                            <pic:blipFill rotWithShape="1">
                              <a:blip r:embed="rId34">
                                <a:alphaModFix/>
                              </a:blip>
                              <a:srcRect/>
                              <a:stretch/>
                            </pic:blipFill>
                            <pic:spPr>
                              <a:xfrm>
                                <a:off x="295200" y="0"/>
                                <a:ext cx="230505" cy="230505"/>
                              </a:xfrm>
                              <a:prstGeom prst="rect">
                                <a:avLst/>
                              </a:prstGeom>
                              <a:noFill/>
                              <a:ln>
                                <a:noFill/>
                              </a:ln>
                            </pic:spPr>
                          </pic:pic>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25705" cy="230505"/>
                <wp:effectExtent b="0" l="0" r="0" t="0"/>
                <wp:docPr descr="CC BY" id="1" name="image4.png"/>
                <a:graphic>
                  <a:graphicData uri="http://schemas.openxmlformats.org/drawingml/2006/picture">
                    <pic:pic>
                      <pic:nvPicPr>
                        <pic:cNvPr descr="CC BY" id="0" name="image4.png"/>
                        <pic:cNvPicPr preferRelativeResize="0"/>
                      </pic:nvPicPr>
                      <pic:blipFill>
                        <a:blip r:embed="rId35"/>
                        <a:srcRect/>
                        <a:stretch>
                          <a:fillRect/>
                        </a:stretch>
                      </pic:blipFill>
                      <pic:spPr>
                        <a:xfrm>
                          <a:off x="0" y="0"/>
                          <a:ext cx="525705" cy="230505"/>
                        </a:xfrm>
                        <a:prstGeom prst="rect"/>
                        <a:ln/>
                      </pic:spPr>
                    </pic:pic>
                  </a:graphicData>
                </a:graphic>
              </wp:inline>
            </w:drawing>
          </mc:Fallback>
        </mc:AlternateContent>
      </w:r>
    </w:p>
    <w:p w:rsidR="00F87FF3" w:rsidRDefault="00B75A50">
      <w:pPr>
        <w:widowControl w:val="0"/>
        <w:tabs>
          <w:tab w:val="left" w:pos="0"/>
        </w:tabs>
        <w:spacing w:after="40"/>
        <w:jc w:val="center"/>
      </w:pPr>
      <w:hyperlink r:id="rId36">
        <w:r>
          <w:rPr>
            <w:color w:val="0563C1"/>
            <w:u w:val="single"/>
          </w:rPr>
          <w:t>CC BY 4.0</w:t>
        </w:r>
      </w:hyperlink>
      <w:r>
        <w:t>, unless otherwise noted.</w:t>
      </w:r>
    </w:p>
    <w:p w:rsidR="00F87FF3" w:rsidRDefault="00B75A50">
      <w:pPr>
        <w:widowControl w:val="0"/>
        <w:tabs>
          <w:tab w:val="left" w:pos="0"/>
        </w:tabs>
        <w:spacing w:after="40"/>
        <w:jc w:val="center"/>
      </w:pPr>
      <w:r>
        <w:t>Washington State Board for Community and Techn</w:t>
      </w:r>
      <w:r>
        <w:t>ical Colleges</w:t>
      </w:r>
    </w:p>
    <w:sectPr w:rsidR="00F87FF3">
      <w:headerReference w:type="default" r:id="rId3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A50" w:rsidRDefault="00B75A50">
      <w:r>
        <w:separator/>
      </w:r>
    </w:p>
  </w:endnote>
  <w:endnote w:type="continuationSeparator" w:id="0">
    <w:p w:rsidR="00B75A50" w:rsidRDefault="00B7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default"/>
  </w:font>
  <w:font w:name="Libre Franklin Medium">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A50" w:rsidRDefault="00B75A50">
      <w:r>
        <w:separator/>
      </w:r>
    </w:p>
  </w:footnote>
  <w:footnote w:type="continuationSeparator" w:id="0">
    <w:p w:rsidR="00B75A50" w:rsidRDefault="00B7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FF3" w:rsidRDefault="00B75A50">
    <w:pPr>
      <w:pBdr>
        <w:top w:val="nil"/>
        <w:left w:val="nil"/>
        <w:bottom w:val="single" w:sz="4" w:space="1" w:color="D9D9D9"/>
        <w:right w:val="nil"/>
        <w:between w:val="nil"/>
      </w:pBdr>
      <w:tabs>
        <w:tab w:val="center" w:pos="4680"/>
        <w:tab w:val="right" w:pos="9360"/>
      </w:tabs>
      <w:jc w:val="right"/>
      <w:rPr>
        <w:b/>
        <w:color w:val="000000"/>
        <w:sz w:val="20"/>
        <w:szCs w:val="20"/>
      </w:rPr>
    </w:pPr>
    <w:r>
      <w:rPr>
        <w:color w:val="000000"/>
        <w:sz w:val="20"/>
        <w:szCs w:val="20"/>
      </w:rPr>
      <w:t xml:space="preserve">Page | </w:t>
    </w:r>
    <w:r>
      <w:rPr>
        <w:color w:val="000000"/>
        <w:sz w:val="20"/>
        <w:szCs w:val="20"/>
      </w:rPr>
      <w:fldChar w:fldCharType="begin"/>
    </w:r>
    <w:r>
      <w:rPr>
        <w:color w:val="000000"/>
        <w:sz w:val="20"/>
        <w:szCs w:val="20"/>
      </w:rPr>
      <w:instrText>PAGE</w:instrText>
    </w:r>
    <w:r w:rsidR="00CC3495">
      <w:rPr>
        <w:color w:val="000000"/>
        <w:sz w:val="20"/>
        <w:szCs w:val="20"/>
      </w:rPr>
      <w:fldChar w:fldCharType="separate"/>
    </w:r>
    <w:r w:rsidR="00CC3495">
      <w:rPr>
        <w:noProof/>
        <w:color w:val="000000"/>
        <w:sz w:val="20"/>
        <w:szCs w:val="20"/>
      </w:rPr>
      <w:t>2</w:t>
    </w:r>
    <w:r>
      <w:rPr>
        <w:color w:val="000000"/>
        <w:sz w:val="20"/>
        <w:szCs w:val="20"/>
      </w:rPr>
      <w:fldChar w:fldCharType="end"/>
    </w:r>
  </w:p>
  <w:p w:rsidR="00F87FF3" w:rsidRDefault="00F87FF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247C"/>
    <w:multiLevelType w:val="multilevel"/>
    <w:tmpl w:val="D2F81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882883"/>
    <w:multiLevelType w:val="multilevel"/>
    <w:tmpl w:val="E87EC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6D1301"/>
    <w:multiLevelType w:val="multilevel"/>
    <w:tmpl w:val="8AB01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EC2398"/>
    <w:multiLevelType w:val="multilevel"/>
    <w:tmpl w:val="61428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4A4B08"/>
    <w:multiLevelType w:val="multilevel"/>
    <w:tmpl w:val="74D22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8D4671"/>
    <w:multiLevelType w:val="multilevel"/>
    <w:tmpl w:val="4986EE78"/>
    <w:lvl w:ilvl="0">
      <w:start w:val="2"/>
      <w:numFmt w:val="decimal"/>
      <w:lvlText w:val="%1."/>
      <w:lvlJc w:val="left"/>
      <w:pPr>
        <w:ind w:left="720" w:hanging="360"/>
      </w:pPr>
      <w:rPr>
        <w:color w:val="2E75B5"/>
      </w:r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6" w15:restartNumberingAfterBreak="0">
    <w:nsid w:val="7EBB1122"/>
    <w:multiLevelType w:val="multilevel"/>
    <w:tmpl w:val="0CC64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F3"/>
    <w:rsid w:val="00B75A50"/>
    <w:rsid w:val="00CC3495"/>
    <w:rsid w:val="00F8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98951-CACE-4460-92DF-415E0D3F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ind w:right="-864"/>
      <w:jc w:val="right"/>
      <w:outlineLvl w:val="0"/>
    </w:pPr>
    <w:rPr>
      <w:rFonts w:ascii="Libre Franklin Medium" w:eastAsia="Libre Franklin Medium" w:hAnsi="Libre Franklin Medium" w:cs="Libre Franklin Medium"/>
      <w:b/>
      <w:smallCaps/>
      <w:color w:val="173963"/>
      <w:sz w:val="60"/>
      <w:szCs w:val="60"/>
    </w:rPr>
  </w:style>
  <w:style w:type="paragraph" w:styleId="Heading2">
    <w:name w:val="heading 2"/>
    <w:basedOn w:val="Normal"/>
    <w:next w:val="Normal"/>
    <w:uiPriority w:val="9"/>
    <w:unhideWhenUsed/>
    <w:qFormat/>
    <w:pPr>
      <w:widowControl w:val="0"/>
      <w:spacing w:before="180" w:after="60"/>
      <w:outlineLvl w:val="1"/>
    </w:pPr>
    <w:rPr>
      <w:rFonts w:ascii="Libre Franklin Medium" w:eastAsia="Libre Franklin Medium" w:hAnsi="Libre Franklin Medium" w:cs="Libre Franklin Medium"/>
      <w:color w:val="173963"/>
      <w:sz w:val="44"/>
      <w:szCs w:val="44"/>
    </w:rPr>
  </w:style>
  <w:style w:type="paragraph" w:styleId="Heading3">
    <w:name w:val="heading 3"/>
    <w:basedOn w:val="Normal"/>
    <w:next w:val="Normal"/>
    <w:uiPriority w:val="9"/>
    <w:unhideWhenUsed/>
    <w:qFormat/>
    <w:pPr>
      <w:widowControl w:val="0"/>
      <w:spacing w:before="180" w:after="60"/>
      <w:outlineLvl w:val="2"/>
    </w:pPr>
    <w:rPr>
      <w:rFonts w:ascii="Libre Franklin Medium" w:eastAsia="Libre Franklin Medium" w:hAnsi="Libre Franklin Medium" w:cs="Libre Franklin Medium"/>
      <w:color w:val="0071CE"/>
      <w:sz w:val="36"/>
      <w:szCs w:val="36"/>
    </w:rPr>
  </w:style>
  <w:style w:type="paragraph" w:styleId="Heading4">
    <w:name w:val="heading 4"/>
    <w:basedOn w:val="Normal"/>
    <w:next w:val="Normal"/>
    <w:uiPriority w:val="9"/>
    <w:unhideWhenUsed/>
    <w:qFormat/>
    <w:pPr>
      <w:keepNext/>
      <w:keepLines/>
      <w:widowControl w:val="0"/>
      <w:spacing w:before="180"/>
      <w:outlineLvl w:val="3"/>
    </w:pPr>
    <w:rPr>
      <w:rFonts w:ascii="Libre Franklin Medium" w:eastAsia="Libre Franklin Medium" w:hAnsi="Libre Franklin Medium" w:cs="Libre Franklin Medium"/>
      <w:color w:val="0071CE"/>
      <w:sz w:val="32"/>
      <w:szCs w:val="32"/>
    </w:rPr>
  </w:style>
  <w:style w:type="paragraph" w:styleId="Heading5">
    <w:name w:val="heading 5"/>
    <w:basedOn w:val="Normal"/>
    <w:next w:val="Normal"/>
    <w:uiPriority w:val="9"/>
    <w:semiHidden/>
    <w:unhideWhenUsed/>
    <w:qFormat/>
    <w:pPr>
      <w:keepNext/>
      <w:keepLines/>
      <w:widowControl w:val="0"/>
      <w:spacing w:before="180"/>
      <w:outlineLvl w:val="4"/>
    </w:pPr>
    <w:rPr>
      <w:rFonts w:ascii="Libre Franklin Medium" w:eastAsia="Libre Franklin Medium" w:hAnsi="Libre Franklin Medium" w:cs="Libre Franklin Medium"/>
      <w:color w:val="0071CE"/>
      <w:sz w:val="28"/>
      <w:szCs w:val="28"/>
    </w:rPr>
  </w:style>
  <w:style w:type="paragraph" w:styleId="Heading6">
    <w:name w:val="heading 6"/>
    <w:basedOn w:val="Normal"/>
    <w:next w:val="Normal"/>
    <w:uiPriority w:val="9"/>
    <w:semiHidden/>
    <w:unhideWhenUsed/>
    <w:qFormat/>
    <w:pPr>
      <w:keepNext/>
      <w:keepLines/>
      <w:spacing w:before="40"/>
      <w:ind w:left="4320" w:hanging="36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ind w:right="-864"/>
      <w:jc w:val="right"/>
    </w:pPr>
    <w:rPr>
      <w:rFonts w:ascii="Libre Franklin Medium" w:eastAsia="Libre Franklin Medium" w:hAnsi="Libre Franklin Medium" w:cs="Libre Franklin Medium"/>
      <w:b/>
      <w:smallCaps/>
      <w:color w:val="173963"/>
      <w:sz w:val="60"/>
      <w:szCs w:val="60"/>
    </w:rPr>
  </w:style>
  <w:style w:type="paragraph" w:styleId="Subtitle">
    <w:name w:val="Subtitle"/>
    <w:basedOn w:val="Normal"/>
    <w:next w:val="Normal"/>
    <w:uiPriority w:val="11"/>
    <w:qFormat/>
    <w:pPr>
      <w:spacing w:after="160" w:line="259" w:lineRule="auto"/>
    </w:pPr>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ernor.wa.gov/sites/default/files/documents/DiversityEquityHiringandDevelopment_03-21-2019.pdf" TargetMode="External"/><Relationship Id="rId18" Type="http://schemas.openxmlformats.org/officeDocument/2006/relationships/hyperlink" Target="https://ofm.wa.gov/sites/default/files/public/shr/Directives/WorkforceDiversityDirective.pdf" TargetMode="External"/><Relationship Id="rId26" Type="http://schemas.openxmlformats.org/officeDocument/2006/relationships/hyperlink" Target="https://www.ofm.wa.gov/state-human-resources/workforce-data-planning/hr-management-report" TargetMode="External"/><Relationship Id="rId39" Type="http://schemas.openxmlformats.org/officeDocument/2006/relationships/theme" Target="theme/theme1.xml"/><Relationship Id="rId21" Type="http://schemas.openxmlformats.org/officeDocument/2006/relationships/hyperlink" Target="https://www.governor.wa.gov/sites/default/files/exe_order/eo_12-02.pdf" TargetMode="External"/><Relationship Id="rId34" Type="http://schemas.openxmlformats.org/officeDocument/2006/relationships/image" Target="media/image5.jpg"/><Relationship Id="rId7" Type="http://schemas.openxmlformats.org/officeDocument/2006/relationships/image" Target="media/image1.jpg"/><Relationship Id="rId12" Type="http://schemas.openxmlformats.org/officeDocument/2006/relationships/hyperlink" Target="https://drkathyobear.com/wp-content/uploads/2016/04/MCOD-handouts.pdf" TargetMode="External"/><Relationship Id="rId17" Type="http://schemas.openxmlformats.org/officeDocument/2006/relationships/hyperlink" Target="https://implicit.harvard.edu/implicit/takeatest.html" TargetMode="External"/><Relationship Id="rId25" Type="http://schemas.openxmlformats.org/officeDocument/2006/relationships/hyperlink" Target="https://www.ofm.wa.gov/sites/default/files/public/shr/Payroll/HRMSSupport/TrainingAndOLQR/DataDefinitions/AAandDemographicDataGuide.pdf" TargetMode="External"/><Relationship Id="rId33" Type="http://schemas.openxmlformats.org/officeDocument/2006/relationships/image" Target="media/image4.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hrm.org/hr-today/news/hr-magazine/pages/1214-hidden-bias.aspx" TargetMode="External"/><Relationship Id="rId20" Type="http://schemas.openxmlformats.org/officeDocument/2006/relationships/hyperlink" Target="https://www.eeoc.gov/laws/statutes/titlevii.cfm" TargetMode="External"/><Relationship Id="rId29" Type="http://schemas.openxmlformats.org/officeDocument/2006/relationships/hyperlink" Target="https://ofm.wa.gov/state-human-resources/workforce-diversity-equity-and-inclusion/affirmative-action/affirmative-action-laws-and-rules-applicable-washingt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vc.edu/students/support/diversity/Multicultural%20Competency%20Interviewing%20Rubric.pdf" TargetMode="External"/><Relationship Id="rId24" Type="http://schemas.openxmlformats.org/officeDocument/2006/relationships/hyperlink" Target="https://ofm.wa.gov/state-human-resources/workforce-data-planning/hrms-data-definitions/hrms-data-definitions-resource-guide" TargetMode="External"/><Relationship Id="rId32" Type="http://schemas.openxmlformats.org/officeDocument/2006/relationships/image" Target="media/image3.pn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fm.wa.gov/sites/default/files/public/shr/HRleaddev/governnance/eocc/DiversityRR.pdf" TargetMode="External"/><Relationship Id="rId23" Type="http://schemas.openxmlformats.org/officeDocument/2006/relationships/hyperlink" Target="https://www.governor.wa.gov/sites/default/files/exe_order/eo_16-05.pdf%22%20%EF%BF%BDHYPERLINK%20%22https:/www.governor.wa.gov/sites/default/files/exe_order/19-01_VeteranAndMilitaryFamily%20.pdf" TargetMode="External"/><Relationship Id="rId28" Type="http://schemas.openxmlformats.org/officeDocument/2006/relationships/hyperlink" Target="https://apps.leg.wa.gov/WAC/default.aspx?cite=357-01-015" TargetMode="External"/><Relationship Id="rId36" Type="http://schemas.openxmlformats.org/officeDocument/2006/relationships/hyperlink" Target="https://creativecommons.org/licenses/by/4.0/" TargetMode="External"/><Relationship Id="rId10" Type="http://schemas.openxmlformats.org/officeDocument/2006/relationships/hyperlink" Target="https://ofm.wa.gov/sites/default/files/public/shr/Directives/WorkforceDiversityDirective.pdf" TargetMode="External"/><Relationship Id="rId19" Type="http://schemas.openxmlformats.org/officeDocument/2006/relationships/hyperlink" Target="https://apps.leg.wa.gov/rcw/default.aspx?cite=49.60" TargetMode="External"/><Relationship Id="rId31" Type="http://schemas.openxmlformats.org/officeDocument/2006/relationships/hyperlink" Target="mailto:jhuss@sbctc.edu" TargetMode="External"/><Relationship Id="rId4" Type="http://schemas.openxmlformats.org/officeDocument/2006/relationships/webSettings" Target="webSettings.xml"/><Relationship Id="rId9" Type="http://schemas.openxmlformats.org/officeDocument/2006/relationships/hyperlink" Target="https://lawfilesext.leg.wa.gov/biennium/2021-22/Pdf/Bills/Session%20Laws/Senate/5194-S2.SL.pdf?q=20211013150249" TargetMode="External"/><Relationship Id="rId14" Type="http://schemas.openxmlformats.org/officeDocument/2006/relationships/hyperlink" Target="https://searchadvocate.oregonstate.edu/" TargetMode="External"/><Relationship Id="rId22" Type="http://schemas.openxmlformats.org/officeDocument/2006/relationships/hyperlink" Target="https://www.governor.wa.gov/sites/default/files/exe_order/eo_13-02.pdf" TargetMode="External"/><Relationship Id="rId27" Type="http://schemas.openxmlformats.org/officeDocument/2006/relationships/hyperlink" Target="https://apps.leg.wa.gov/rcw/default.aspx?cite=41.06.530" TargetMode="External"/><Relationship Id="rId30" Type="http://schemas.openxmlformats.org/officeDocument/2006/relationships/hyperlink" Target="mailto:hnguyen@sbctc.edu" TargetMode="External"/><Relationship Id="rId35" Type="http://schemas.openxmlformats.org/officeDocument/2006/relationships/image" Target="media/image4.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12985</Characters>
  <Application>Microsoft Office Word</Application>
  <DocSecurity>0</DocSecurity>
  <Lines>316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Pleasants</dc:creator>
  <cp:lastModifiedBy>Christina Pleasants</cp:lastModifiedBy>
  <cp:revision>2</cp:revision>
  <dcterms:created xsi:type="dcterms:W3CDTF">2022-03-30T22:53:00Z</dcterms:created>
  <dcterms:modified xsi:type="dcterms:W3CDTF">2022-03-30T22:53:00Z</dcterms:modified>
</cp:coreProperties>
</file>