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BB" w:rsidRDefault="005B2EED">
      <w:r>
        <w:t>HUSOC disaggregated outcomes primary Common Courses</w:t>
      </w:r>
      <w:bookmarkStart w:id="0" w:name="_GoBack"/>
      <w:bookmarkEnd w:id="0"/>
    </w:p>
    <w:p w:rsidR="005B2EED" w:rsidRDefault="005B2EED"/>
    <w:p w:rsidR="00CB070A" w:rsidRDefault="00CB070A" w:rsidP="00CB070A">
      <w:pPr>
        <w:jc w:val="center"/>
      </w:pPr>
      <w:r>
        <w:rPr>
          <w:noProof/>
        </w:rPr>
        <w:drawing>
          <wp:inline distT="0" distB="0" distL="0" distR="0" wp14:anchorId="2646F5F1" wp14:editId="0B55DC85">
            <wp:extent cx="4572000" cy="27051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E1AB05-7A4A-451E-8863-C27FCECD7F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070A" w:rsidRDefault="00CB070A" w:rsidP="00CB070A">
      <w:pPr>
        <w:jc w:val="center"/>
      </w:pPr>
      <w:r>
        <w:rPr>
          <w:noProof/>
        </w:rPr>
        <w:drawing>
          <wp:inline distT="0" distB="0" distL="0" distR="0" wp14:anchorId="0622A0D6" wp14:editId="7980D987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2356051-90E1-4117-86F2-8E46E6B99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070A" w:rsidRDefault="00CB070A"/>
    <w:p w:rsidR="00CB070A" w:rsidRDefault="00CB070A"/>
    <w:p w:rsidR="00CB070A" w:rsidRDefault="00CB070A" w:rsidP="00CB070A">
      <w:pPr>
        <w:jc w:val="center"/>
      </w:pPr>
      <w:r>
        <w:rPr>
          <w:noProof/>
        </w:rPr>
        <w:lastRenderedPageBreak/>
        <w:drawing>
          <wp:inline distT="0" distB="0" distL="0" distR="0" wp14:anchorId="065E613B" wp14:editId="6DC4D2B2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AF32C16-C4F3-418B-B325-1FDEAFD52A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070A" w:rsidRDefault="00CB070A" w:rsidP="00CB070A">
      <w:pPr>
        <w:jc w:val="center"/>
      </w:pPr>
      <w:r>
        <w:rPr>
          <w:noProof/>
        </w:rPr>
        <w:drawing>
          <wp:inline distT="0" distB="0" distL="0" distR="0" wp14:anchorId="1772A2FB" wp14:editId="23E34543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0BE4492-80D7-4E69-B783-818BCE5F04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070A" w:rsidRDefault="00CB070A"/>
    <w:p w:rsidR="00CB070A" w:rsidRDefault="00CB070A"/>
    <w:p w:rsidR="00CB070A" w:rsidRDefault="00CB070A"/>
    <w:p w:rsidR="00CB070A" w:rsidRDefault="00CB070A"/>
    <w:sectPr w:rsidR="00CB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A"/>
    <w:rsid w:val="000E059E"/>
    <w:rsid w:val="005B2EED"/>
    <w:rsid w:val="00CB070A"/>
    <w:rsid w:val="00D03CBB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60FA"/>
  <w15:chartTrackingRefBased/>
  <w15:docId w15:val="{EB995448-6C56-4D29-93C4-2A02308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-oly-1\users$\skenesson\Decomposing%20English%20&amp;101\Common%20Course%20HUSOC%20gap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-oly-1\users$\skenesson\Decomposing%20English%20&amp;101\Common%20Course%20HUSOC%20gap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-oly-1\users$\skenesson\Decomposing%20English%20&amp;101\Common%20Course%20HUSOC%20gap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-oly-1\users$\skenesson\Decomposing%20English%20&amp;101\Common%20Course%20HUSOC%20gap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Completion Rates: ENGL&amp;101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Not HUSOC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0%</c:formatCode>
                <c:ptCount val="5"/>
                <c:pt idx="0">
                  <c:v>0.76</c:v>
                </c:pt>
                <c:pt idx="1">
                  <c:v>0.77</c:v>
                </c:pt>
                <c:pt idx="2">
                  <c:v>0.78</c:v>
                </c:pt>
                <c:pt idx="3">
                  <c:v>0.78</c:v>
                </c:pt>
                <c:pt idx="4">
                  <c:v>0.77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7E-473C-8726-F778CC0F624C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HUSOC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Sheet1!$B$4:$F$4</c:f>
              <c:numCache>
                <c:formatCode>0%</c:formatCode>
                <c:ptCount val="5"/>
                <c:pt idx="0">
                  <c:v>0.67</c:v>
                </c:pt>
                <c:pt idx="1">
                  <c:v>0.69</c:v>
                </c:pt>
                <c:pt idx="2">
                  <c:v>0.68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7E-473C-8726-F778CC0F624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1072959359"/>
        <c:axId val="1063740463"/>
      </c:lineChart>
      <c:catAx>
        <c:axId val="1072959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740463"/>
        <c:crosses val="autoZero"/>
        <c:auto val="1"/>
        <c:lblAlgn val="ctr"/>
        <c:lblOffset val="100"/>
        <c:noMultiLvlLbl val="0"/>
      </c:catAx>
      <c:valAx>
        <c:axId val="1063740463"/>
        <c:scaling>
          <c:orientation val="minMax"/>
          <c:max val="0.9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2959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Completion Rates: MATH&amp;141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Not HUSOC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Sheet1!$B$7:$F$7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Sheet1!$B$8:$F$8</c:f>
              <c:numCache>
                <c:formatCode>0%</c:formatCode>
                <c:ptCount val="5"/>
                <c:pt idx="0">
                  <c:v>0.7</c:v>
                </c:pt>
                <c:pt idx="1">
                  <c:v>0.7</c:v>
                </c:pt>
                <c:pt idx="2">
                  <c:v>0.7</c:v>
                </c:pt>
                <c:pt idx="3">
                  <c:v>0.71</c:v>
                </c:pt>
                <c:pt idx="4">
                  <c:v>0.73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FF-4372-A213-488A0B51F1FD}"/>
            </c:ext>
          </c:extLst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HUSOC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Sheet1!$B$7:$F$7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Sheet1!$B$9:$F$9</c:f>
              <c:numCache>
                <c:formatCode>0%</c:formatCode>
                <c:ptCount val="5"/>
                <c:pt idx="0">
                  <c:v>0.57999999999999996</c:v>
                </c:pt>
                <c:pt idx="1">
                  <c:v>0.59</c:v>
                </c:pt>
                <c:pt idx="2">
                  <c:v>0.59</c:v>
                </c:pt>
                <c:pt idx="3">
                  <c:v>0.6</c:v>
                </c:pt>
                <c:pt idx="4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FF-4372-A213-488A0B51F1F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1072950159"/>
        <c:axId val="1081209999"/>
      </c:lineChart>
      <c:catAx>
        <c:axId val="1072950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209999"/>
        <c:crosses val="autoZero"/>
        <c:auto val="1"/>
        <c:lblAlgn val="ctr"/>
        <c:lblOffset val="100"/>
        <c:noMultiLvlLbl val="0"/>
      </c:catAx>
      <c:valAx>
        <c:axId val="1081209999"/>
        <c:scaling>
          <c:orientation val="minMax"/>
          <c:max val="0.9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2950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Completion Rates: BIOL&amp;160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Sheet1!$A$13</c:f>
              <c:strCache>
                <c:ptCount val="1"/>
                <c:pt idx="0">
                  <c:v>Not HUSOC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Sheet1!$B$13:$F$13</c:f>
              <c:numCache>
                <c:formatCode>0%</c:formatCode>
                <c:ptCount val="5"/>
                <c:pt idx="0">
                  <c:v>0.76</c:v>
                </c:pt>
                <c:pt idx="1">
                  <c:v>0.77</c:v>
                </c:pt>
                <c:pt idx="2">
                  <c:v>0.78</c:v>
                </c:pt>
                <c:pt idx="3">
                  <c:v>0.79</c:v>
                </c:pt>
                <c:pt idx="4">
                  <c:v>0.78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7E-4E61-AE11-0A00CE075D80}"/>
            </c:ext>
          </c:extLst>
        </c:ser>
        <c:ser>
          <c:idx val="1"/>
          <c:order val="1"/>
          <c:tx>
            <c:strRef>
              <c:f>Sheet1!$A$14</c:f>
              <c:strCache>
                <c:ptCount val="1"/>
                <c:pt idx="0">
                  <c:v>HUSOC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Sheet1!$B$12:$F$12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Sheet1!$B$14:$F$14</c:f>
              <c:numCache>
                <c:formatCode>0%</c:formatCode>
                <c:ptCount val="5"/>
                <c:pt idx="0">
                  <c:v>0.62</c:v>
                </c:pt>
                <c:pt idx="1">
                  <c:v>0.63</c:v>
                </c:pt>
                <c:pt idx="2">
                  <c:v>0.66</c:v>
                </c:pt>
                <c:pt idx="3">
                  <c:v>0.68</c:v>
                </c:pt>
                <c:pt idx="4">
                  <c:v>0.66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7E-4E61-AE11-0A00CE075D8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1083238991"/>
        <c:axId val="965400847"/>
      </c:lineChart>
      <c:catAx>
        <c:axId val="1083238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5400847"/>
        <c:crosses val="autoZero"/>
        <c:auto val="1"/>
        <c:lblAlgn val="ctr"/>
        <c:lblOffset val="100"/>
        <c:noMultiLvlLbl val="0"/>
      </c:catAx>
      <c:valAx>
        <c:axId val="965400847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23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Course Completion Rates: PSYC&amp;100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Sheet1!$A$18</c:f>
              <c:strCache>
                <c:ptCount val="1"/>
                <c:pt idx="0">
                  <c:v>Not HUSOC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Sheet1!$B$17:$F$17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Sheet1!$B$18:$F$18</c:f>
              <c:numCache>
                <c:formatCode>0%</c:formatCode>
                <c:ptCount val="5"/>
                <c:pt idx="0">
                  <c:v>0.77</c:v>
                </c:pt>
                <c:pt idx="1">
                  <c:v>0.78</c:v>
                </c:pt>
                <c:pt idx="2">
                  <c:v>0.79</c:v>
                </c:pt>
                <c:pt idx="3">
                  <c:v>0.8</c:v>
                </c:pt>
                <c:pt idx="4">
                  <c:v>0.79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8F-4A09-84C2-E54E84BB3CEC}"/>
            </c:ext>
          </c:extLst>
        </c:ser>
        <c:ser>
          <c:idx val="1"/>
          <c:order val="1"/>
          <c:tx>
            <c:strRef>
              <c:f>Sheet1!$A$19</c:f>
              <c:strCache>
                <c:ptCount val="1"/>
                <c:pt idx="0">
                  <c:v>HUSOC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Sheet1!$B$17:$F$17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Sheet1!$B$19:$F$19</c:f>
              <c:numCache>
                <c:formatCode>0%</c:formatCode>
                <c:ptCount val="5"/>
                <c:pt idx="0">
                  <c:v>0.66</c:v>
                </c:pt>
                <c:pt idx="1">
                  <c:v>0.68</c:v>
                </c:pt>
                <c:pt idx="2">
                  <c:v>0.71</c:v>
                </c:pt>
                <c:pt idx="3">
                  <c:v>0.7</c:v>
                </c:pt>
                <c:pt idx="4">
                  <c:v>0.69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8F-4A09-84C2-E54E84BB3CE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1121745343"/>
        <c:axId val="1079516127"/>
      </c:lineChart>
      <c:catAx>
        <c:axId val="112174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516127"/>
        <c:crosses val="autoZero"/>
        <c:auto val="1"/>
        <c:lblAlgn val="ctr"/>
        <c:lblOffset val="100"/>
        <c:noMultiLvlLbl val="0"/>
      </c:catAx>
      <c:valAx>
        <c:axId val="1079516127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1745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Kenesson</dc:creator>
  <cp:keywords/>
  <dc:description/>
  <cp:lastModifiedBy>Summer Kenesson</cp:lastModifiedBy>
  <cp:revision>3</cp:revision>
  <dcterms:created xsi:type="dcterms:W3CDTF">2019-11-05T17:24:00Z</dcterms:created>
  <dcterms:modified xsi:type="dcterms:W3CDTF">2019-11-06T18:48:00Z</dcterms:modified>
</cp:coreProperties>
</file>